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88R2015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filing and use of an affidavit containing the contact information of certain persons in a guardianship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1101, Estates Code, is amended by adding Section 1101.003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1101.003.</w:t>
      </w:r>
      <w:r>
        <w:rPr>
          <w:u w:val="single"/>
        </w:rPr>
        <w:t xml:space="preserve"> </w:t>
      </w:r>
      <w:r>
        <w:rPr>
          <w:u w:val="single"/>
        </w:rPr>
        <w:t xml:space="preserve"> </w:t>
      </w:r>
      <w:r>
        <w:rPr>
          <w:u w:val="single"/>
        </w:rPr>
        <w:t xml:space="preserve">AFFIDAVIT CONTAINING CONTACT INFORMATION OF CERTAIN PERSONS.  (a) </w:t>
      </w:r>
      <w:r>
        <w:rPr>
          <w:u w:val="single"/>
        </w:rPr>
        <w:t xml:space="preserve"> </w:t>
      </w:r>
      <w:r>
        <w:rPr>
          <w:u w:val="single"/>
        </w:rPr>
        <w:t xml:space="preserve">Within the time prescribed by the court, a person who files an application under Section 1101.001 shall file an affidavit with the court that states the name, address, telephone number, e-mail address, and other contact information if known by the applicant for each person entitled to notice under Section 1051.104(a).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affidavit filed under this section is privileged and confidential.  The affidavit may not be released or otherwise disclosed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qualification of a guardian, the court shall provide a copy of the affidavit filed under this section to the guardian if the guardian is not the person who filed the affidavit.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1151.056, Estates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the guardian knows the information is not correct, a guardian of a ward shall rely on the contact information contained in the affidavit required by Section 1101.003 to provide notice about the ward to a relative of the ward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the appointment of a guardian filed on or after the effective date of this Act. </w:t>
      </w:r>
      <w:r>
        <w:t xml:space="preserve"> </w:t>
      </w:r>
      <w:r>
        <w:t xml:space="preserve">An application for the appointment of a guardian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