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88R2273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criminal defendants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(2);</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180th day after the date</w:t>
      </w:r>
      <w:r>
        <w:t xml:space="preserve"> [</w:t>
      </w:r>
      <w:r>
        <w:rPr>
          <w:strike/>
        </w:rPr>
        <w:t xml:space="preserve">second anniversary</w:t>
      </w:r>
      <w:r>
        <w:t xml:space="preserve">] of the discharge and dismissal, if the offense for which the person was placed on deferred adjudication was a misdemeanor under Chapter 20, 21, 22, 25, 42, 43, or 46, Penal Code; or</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first</w:t>
      </w:r>
      <w:r>
        <w:t xml:space="preserve"> [</w:t>
      </w:r>
      <w:r>
        <w:rPr>
          <w:strike/>
        </w:rPr>
        <w:t xml:space="preserve">fifth</w:t>
      </w:r>
      <w:r>
        <w:t xml:space="preserve">] anniversary of the discharge and dismissal, if the offense for which the person was placed on deferred adjudication was a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E-1, Chapter 411, Government Code, is amended by adding Sections 411.0732 and 411.0737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411.0732.</w:t>
      </w:r>
      <w:r>
        <w:rPr>
          <w:u w:val="single"/>
        </w:rPr>
        <w:t xml:space="preserve"> </w:t>
      </w:r>
      <w:r>
        <w:rPr>
          <w:u w:val="single"/>
        </w:rPr>
        <w:t xml:space="preserve"> </w:t>
      </w:r>
      <w:r>
        <w:rPr>
          <w:u w:val="single"/>
        </w:rPr>
        <w:t xml:space="preserve">PROCEDURE FOR COMMUNITY SUPERVISION FOLLOWING CONVICTION; CERTAIN NONVIOLENT FELONIES.  (a) </w:t>
      </w:r>
      <w:r>
        <w:rPr>
          <w:u w:val="single"/>
        </w:rPr>
        <w:t xml:space="preserve"> </w:t>
      </w:r>
      <w:r>
        <w:rPr>
          <w:u w:val="single"/>
        </w:rPr>
        <w:t xml:space="preserve">This section applies only to a person placed on community supervision under Chapter 42A, Code of Criminal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following a conviction of a felony other than a felony: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judgment contains an affirmative finding under Article 42A.054(c) or (d),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punishable as a felony of the second degree or a felony of the first degree under Subchapter D, Chapter 481, Health and Safety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punishable under Section 481.1122, Health and Safety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under Title 5, Penal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Chapter 25, 29, 43, 49, or 71, Penal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under Section 28.02, 36.02, 42.072, or 42.08, Penal Code;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punishable as a felony of the second degree or a felony of the first degree under Section 28.03, Penal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punishable as a felony of the first degree under Section 30.02, Penal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under Section 31.03 or 34.02, Penal Code, that is punishable as a felony of the third degree or any higher category of offense;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punishable as a felony of the second degree or a felony of the first degree under Section 38.06, Penal Code;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punishable as a felony of the second degree under Section 46.14,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provision of Chapter 42A, Code of Criminal Procedure, other than Subchapter C,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provision that requires the person to serve a term of confinement as a condition of community supervision;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provision that authorizes placing a person on community supervision after the person has served part of a term of confinement imposed for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whose community supervision is not revoked and who completes the period of community supervision, including any term of confinement imposed and payment of all fines, costs, and restitution imposed, may petition the court that placed the person on community supervision for an order of nondisclosure of criminal history record information under this section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of this section and Section 411.074;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never been previously convicted of or placed on deferred adjudication community supervision for another offense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traffic offense that is punishable by fine only;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arising out of the criminal episode during which the offense that is the subject of the petition occurred;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never previously received an order of nondisclosure of criminal history record information under this subchapter or other law for an offense, other than an offense described by Subdivision (2)(A) or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 giving rise to the community supervision.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petition the court that placed the person on community supervision for an order of nondisclosure of criminal history record information under this section only on or after the second anniversary of the date of completion of the community supervision.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411.0737.</w:t>
      </w:r>
      <w:r>
        <w:rPr>
          <w:u w:val="single"/>
        </w:rPr>
        <w:t xml:space="preserve"> </w:t>
      </w:r>
      <w:r>
        <w:rPr>
          <w:u w:val="single"/>
        </w:rPr>
        <w:t xml:space="preserve"> </w:t>
      </w:r>
      <w:r>
        <w:rPr>
          <w:u w:val="single"/>
        </w:rPr>
        <w:t xml:space="preserve">PROCEDURE FOR CONVICTION; CERTAIN NONVIOLENT FELONIES.  (a) </w:t>
      </w:r>
      <w:r>
        <w:rPr>
          <w:u w:val="single"/>
        </w:rPr>
        <w:t xml:space="preserve"> </w:t>
      </w:r>
      <w:r>
        <w:rPr>
          <w:u w:val="single"/>
        </w:rPr>
        <w:t xml:space="preserve">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convicted of a felony other than a felony: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listed in Article 42A.054(a),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judgment contains an affirmative finding under Article 42A.054(c) or (d),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punishable as a felony of the second degree or a felony of the first degree under Subchapter D, Chapter 481, Health and Safety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punishable under Section 481.1122, Health and Safety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under Title 5, Penal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Chapter 25, 29, 43, 49, or 71, Penal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under Section 28.02, 36.02, 42.072, or 42.08, Penal Code;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punishable as a felony of the second degree or a felony of the first degree under Section 28.03, Penal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punishable as a felony of the first degree under Section 30.02, Penal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under Section 31.03 or 34.02, Penal Code, that is punishable as a felony of the third degree or any higher category of offense;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punishable as a felony of the second degree or a felony of the first degree under Section 38.06, Penal Code;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punishable as a felony of the second degree under Section 46.14,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eligible for an order of nondisclosure of criminal history record information under Section 411.0732.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completes the person's sentence, including any term of confinement imposed and payment of all fines, costs, and restitution imposed, may petition the court that imposed the sentence for an order of nondisclosure of criminal history record information under this section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of this section and Section 411.074;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never been previously convicted of or placed on deferred adjudication community supervision for another offense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traffic offense that is punishable by fine only;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arising out of the criminal episode during which the offense that is the subject of the petition occurred;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never previously received an order of nondisclosure of criminal history record information under this subchapter or other law for an offense, other than an offense described by Subdivision (2)(A) or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 for which the person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not issue an order of nondisclosure of criminal history record information under this section if the court determines that the offense for which the order is sought was violent or sexual in nature.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the court that imposed the sentence for an order of nondisclosure of criminal history record information under this section only on or after the third anniversary of the date of completion of the person's sentence.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