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88R22778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288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288:</w:t>
      </w: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C.S.H.B.</w:t>
      </w:r>
      <w:r xml:space="preserve">
        <w:t> </w:t>
      </w:r>
      <w:r>
        <w:t xml:space="preserve">No.</w:t>
      </w:r>
      <w:r xml:space="preserve">
        <w:t> </w:t>
      </w:r>
      <w:r>
        <w:t xml:space="preserve">288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fireworks sales buildings of indoor retail fireworks sites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E-1, Chapter 2154, Occupations Code, is amended by adding Section 2154.2215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2154.2215.</w:t>
      </w:r>
      <w:r>
        <w:rPr>
          <w:u w:val="single"/>
        </w:rPr>
        <w:t xml:space="preserve"> </w:t>
      </w:r>
      <w:r>
        <w:rPr>
          <w:u w:val="single"/>
        </w:rPr>
        <w:t xml:space="preserve"> </w:t>
      </w:r>
      <w:r>
        <w:rPr>
          <w:u w:val="single"/>
        </w:rPr>
        <w:t xml:space="preserve">FIREWORKS SALES BUILDINGS IN CERTAIN COUNTIES.  (a) </w:t>
      </w:r>
      <w:r>
        <w:rPr>
          <w:u w:val="single"/>
        </w:rPr>
        <w:t xml:space="preserve"> </w:t>
      </w:r>
      <w:r>
        <w:rPr>
          <w:u w:val="single"/>
        </w:rPr>
        <w:t xml:space="preserve">This section applies only to a county with a population of more than 1.5 million in which more than 75 percent of the population lives in a single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requirements of Section 2154.221, a fireworks sales building of an indoor retail fireworks site located in or directly adjacent to a residential real estate subdivision with at least 3,300 homes that is governed by a property owners association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the time the building's construction  commences, a minimum distance of 100 feet from any inhabited building;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at a minimum, one-hour fire-rated exterior walls with minimum three-fourths-hour fire-rated protected openings;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 complete automatic fire sprinkler system installed in accordance with the provisions of the edition of the National Fire Protection Association, Standard 13, "Standard for the Installation of Sprinkler Systems," as adopted and amended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2154.2215, Occupations Code, as added by this Act, applies only to a fireworks sales building of an indoor retail fireworks site for which construction commences on or after September 1, 2023.  A fireworks sales building of an indoor retail fireworks site for which construction commenced before that date is governed by the law in effect before September 1, 2023,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