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Bernal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313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compensatory education allotment for homeless students or students in foster care under the Foundation School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48.104, Education Code, is amended by amending Subsection (e-1)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(e-1)</w:t>
      </w:r>
      <w:r xml:space="preserve">
        <w:t> </w:t>
      </w:r>
      <w:r xml:space="preserve">
        <w:t> </w:t>
      </w:r>
      <w:r>
        <w:t xml:space="preserve">For each student who is a homeless child or youth as </w:t>
      </w:r>
      <w:r>
        <w:t xml:space="preserve">defined by 42 U.S.C. Section 11434a </w:t>
      </w:r>
      <w:r>
        <w:rPr>
          <w:u w:val="single"/>
        </w:rPr>
        <w:t xml:space="preserve">or in the conservatorship of the Department of Family and Protective Services</w:t>
      </w:r>
      <w:r>
        <w:t xml:space="preserve">, a school district is entitled to an annual allotment equal to the basic allotment multiplied by </w:t>
      </w:r>
      <w:r>
        <w:rPr>
          <w:strike/>
        </w:rPr>
        <w:t xml:space="preserve">the highest weight provided under Subsection (d)</w:t>
      </w:r>
      <w:r>
        <w:t xml:space="preserve"> </w:t>
      </w:r>
      <w:r>
        <w:rPr>
          <w:u w:val="single"/>
        </w:rPr>
        <w:t xml:space="preserve">2.41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313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