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315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statement by the secretary of state regarding the furnishing of certain personal information on an application for a ballot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84.011,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 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statement informing the applicant that failure to furnish that information does not invalidate the application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statement prescribed by the secretary of state explaining the benefits of furnishing that information, including how that information assists the early voting clerk</w:t>
      </w:r>
      <w:r>
        <w:t xml:space="preserve">;</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84.002(a)(4)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make the statement prescribed by Subsection (a)(4)(C)(ii) available on the secretary's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