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315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State Affairs; May</w:t>
      </w:r>
      <w:r xml:space="preserve">
        <w:t> </w:t>
      </w:r>
      <w:r>
        <w:t xml:space="preserve">16,</w:t>
      </w:r>
      <w:r xml:space="preserve">
        <w:t> </w:t>
      </w:r>
      <w:r>
        <w:t xml:space="preserve">2023, reported favorably by the following vote:</w:t>
      </w:r>
      <w:r>
        <w:t xml:space="preserve"> </w:t>
      </w:r>
      <w:r>
        <w:t xml:space="preserve"> </w:t>
      </w:r>
      <w:r>
        <w:t xml:space="preserve">Yeas 10,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statement by the secretary of state regarding the furnishing of certain personal information on an application for a ballot to be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84.011, Election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84.003 and 84.004;</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w:t>
      </w:r>
    </w:p>
    <w:p w:rsidR="003F3435" w:rsidRDefault="0032493E">
      <w:pPr>
        <w:spacing w:line="480" w:lineRule="auto"/>
        <w:ind w:firstLine="1440"/>
        <w:jc w:val="both"/>
      </w:pPr>
      <w:r>
        <w:t xml:space="preserve">(3-a) a space for entering the information required under Section 84.002(a)(1-a);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applying on the ground of absence from the county of residence to indicate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statement informing the applicant that failure to furnish that information does not invalidate the application</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statement prescribed by the secretary of state explaining the benefits of furnishing that information, including how that information assists the early voting clerk</w:t>
      </w:r>
      <w:r>
        <w:t xml:space="preserve">;</w:t>
      </w:r>
    </w:p>
    <w:p w:rsidR="003F3435" w:rsidRDefault="0032493E">
      <w:pPr>
        <w:spacing w:line="480" w:lineRule="auto"/>
        <w:ind w:firstLine="2160"/>
        <w:jc w:val="both"/>
      </w:pPr>
      <w:r>
        <w:t xml:space="preserve">(D)</w:t>
      </w:r>
      <w:r xml:space="preserve">
        <w:t> </w:t>
      </w:r>
      <w:r xml:space="preserve">
        <w:t> </w:t>
      </w:r>
      <w:r>
        <w:t xml:space="preserve">a space or box for an applicant applying on the ground of age or disability to indicate that the address to which the ballot is to be mailed is the address of a facility or relative described by Section 84.002(a)(3),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applying on the ground of confinement in jail or involuntary civil commitment to indicate that the address to which the ballot is to be mailed is the address of a relative described by Section 84.002(a)(4) or (7), if applicable;</w:t>
      </w:r>
    </w:p>
    <w:p w:rsidR="003F3435" w:rsidRDefault="0032493E">
      <w:pPr>
        <w:spacing w:line="480" w:lineRule="auto"/>
        <w:ind w:firstLine="2160"/>
        <w:jc w:val="both"/>
      </w:pPr>
      <w:r>
        <w:t xml:space="preserve">(F)</w:t>
      </w:r>
      <w:r xml:space="preserve">
        <w:t> </w:t>
      </w:r>
      <w:r xml:space="preserve">
        <w:t> </w:t>
      </w:r>
      <w:r>
        <w:t xml:space="preserve">a space for an applicant applying on the ground of age or disability to indicate if the application is an application under Section 86.0015;</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81.005;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86.003(c).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make the statement prescribed by Subsection (a)(4)(C)(ii) available on the secretary's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