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88R979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Cortez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county to require a person to obtain a building permit for certain portable structures.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233, Local Government Code, is amended by adding Section 233.902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233.902.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PORTABLE STRUCTURE FOR PERIODIC SALE OF RETAIL GOODS.  (a)  Notwithstanding any other law and except as provided by Subsection (b), a county may not require a person to obtain a building permit to construct, improve, or occupy a structure used for the retail sale of goods not more than 60 days in a calendar year if the structure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portable;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smaller than 500 square feet.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prevent a county from enforcing a fire code adopted by the county or inspecting a structure for a fire or life safety hazard as authorized by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