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88R3229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requirement to report certain semiautomatic rifle sales and other transfers to the county sheriff.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REPORTS OF CERTAIN FIREARM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  In this chapter, "licensed firearms dealer" means a person who is licensed as a firearms dealer under 18 U.S.C. Section 923.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205.002.</w:t>
      </w:r>
      <w:r>
        <w:rPr>
          <w:u w:val="single"/>
        </w:rPr>
        <w:t xml:space="preserve"> </w:t>
      </w:r>
      <w:r>
        <w:rPr>
          <w:u w:val="single"/>
        </w:rPr>
        <w:t xml:space="preserve"> </w:t>
      </w:r>
      <w:r>
        <w:rPr>
          <w:u w:val="single"/>
        </w:rPr>
        <w:t xml:space="preserve">APPLICABILITY.  This chapter applies only to a semiautomatic rifle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capable of accepting a detachable magazine;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caliber greater than .22.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205.003.</w:t>
      </w:r>
      <w:r>
        <w:rPr>
          <w:u w:val="single"/>
        </w:rPr>
        <w:t xml:space="preserve"> </w:t>
      </w:r>
      <w:r>
        <w:rPr>
          <w:u w:val="single"/>
        </w:rPr>
        <w:t xml:space="preserve"> </w:t>
      </w:r>
      <w:r>
        <w:rPr>
          <w:u w:val="single"/>
        </w:rPr>
        <w:t xml:space="preserve">REPORT.  A licensed firearms dealer who sells or otherwise transfers a semiautomatic rifle described by Section 205.002 to a person who is under 21 years of age promptly shall report the transfer to the sheriff of the county in which the transfer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sale or other transfer of a firearm that occurs on or after the effective date of this Act.  A sale or other transfer of a firearm that occurs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