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331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costs of expansion of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48.266(f), Education Code, is amended to read as follows:</w:t>
      </w:r>
    </w:p>
    <w:p w:rsidR="003F3435" w:rsidRDefault="0032493E">
      <w:pPr>
        <w:spacing w:line="480" w:lineRule="auto"/>
        <w:ind w:firstLine="720"/>
        <w:jc w:val="both"/>
      </w:pPr>
      <w:r>
        <w:t xml:space="preserve">(f)</w:t>
      </w:r>
      <w:r xml:space="preserve">
        <w:t> </w:t>
      </w:r>
      <w:r xml:space="preserve">
        <w:t> </w:t>
      </w:r>
      <w:r>
        <w:t xml:space="preserve">If the amount appropriated for the Foundation School Program for the second year of a state fiscal biennium is less than the amount to which school districts and open-enrollment charter schools are entitled for that year, the commissioner shall certify the amount of the difference to the Legislative Budget Board not later than January 1 of the second year of the state fiscal biennium.  The Legislative Budget Board shall propose to the legislature that the certified amount be transferred to the foundation school fund from the economic stabilization fund and appropriated for the purpose of increases in allocations under this subsection.  If the legislature fails during the regular session to enact the proposed transfer and appropriation and there are not funds available under Subsection (h), the commissioner </w:t>
      </w:r>
      <w:r>
        <w:rPr>
          <w:u w:val="single"/>
        </w:rPr>
        <w:t xml:space="preserve">may not approve an expansion amendment for an open-enrollment charter school or an application of a new charter holder for the biennium before adjusting</w:t>
      </w:r>
      <w:r>
        <w:t xml:space="preserve"> [</w:t>
      </w:r>
      <w:r>
        <w:rPr>
          <w:strike/>
        </w:rPr>
        <w:t xml:space="preserve">shall adjust</w:t>
      </w:r>
      <w:r>
        <w:t xml:space="preserve">] the total amounts due to each school district and open-enrollment charter school under this chapter and the total amounts necessary for each school district to comply with the requirements of Chapter 49 by an amount determined by applying to each district and school the same percentage adjustment to the total amount of state and local revenue due to the district or school under this chapter and Chapter 49 so that the total amount of the adjustment to all districts and schools results in an amount equal to the total adjustment necessary.  The following fiscal year:</w:t>
      </w:r>
    </w:p>
    <w:p w:rsidR="003F3435" w:rsidRDefault="0032493E">
      <w:pPr>
        <w:spacing w:line="480" w:lineRule="auto"/>
        <w:ind w:firstLine="1440"/>
        <w:jc w:val="both"/>
      </w:pPr>
      <w:r>
        <w:t xml:space="preserve">(1)</w:t>
      </w:r>
      <w:r xml:space="preserve">
        <w:t> </w:t>
      </w:r>
      <w:r xml:space="preserve">
        <w:t> </w:t>
      </w:r>
      <w:r>
        <w:t xml:space="preserve">a district's or school's entitlement under this section is increased by an amount equal to the adjustment  made under this subsection; and</w:t>
      </w:r>
    </w:p>
    <w:p w:rsidR="003F3435" w:rsidRDefault="0032493E">
      <w:pPr>
        <w:spacing w:line="480" w:lineRule="auto"/>
        <w:ind w:firstLine="1440"/>
        <w:jc w:val="both"/>
      </w:pPr>
      <w:r>
        <w:t xml:space="preserve">(2)</w:t>
      </w:r>
      <w:r xml:space="preserve">
        <w:t> </w:t>
      </w:r>
      <w:r xml:space="preserve">
        <w:t> </w:t>
      </w:r>
      <w:r>
        <w:t xml:space="preserve">the amount necessary for a district to comply with the requirements of Chapter 49 is reduced by an amount necessary to ensure a district's full recovery of the adjustment made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48.269(a),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October 1 of each even-numbered year:</w:t>
      </w:r>
    </w:p>
    <w:p w:rsidR="003F3435" w:rsidRDefault="0032493E">
      <w:pPr>
        <w:spacing w:line="480" w:lineRule="auto"/>
        <w:ind w:firstLine="1440"/>
        <w:jc w:val="both"/>
      </w:pPr>
      <w:r>
        <w:t xml:space="preserve">(1)</w:t>
      </w:r>
      <w:r xml:space="preserve">
        <w:t> </w:t>
      </w:r>
      <w:r xml:space="preserve">
        <w:t> </w:t>
      </w:r>
      <w:r>
        <w:t xml:space="preserve">the agency shall submit to the legislature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estimate of the tax rate and student enrollment of each school district for the following biennium;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open-enrollment charter school, the school's student enrollment and the school's maximum enrollment capacity; and</w:t>
      </w:r>
    </w:p>
    <w:p w:rsidR="003F3435" w:rsidRDefault="0032493E">
      <w:pPr>
        <w:spacing w:line="480" w:lineRule="auto"/>
        <w:ind w:firstLine="1440"/>
        <w:jc w:val="both"/>
      </w:pPr>
      <w:r>
        <w:t xml:space="preserve">(2)</w:t>
      </w:r>
      <w:r xml:space="preserve">
        <w:t> </w:t>
      </w:r>
      <w:r xml:space="preserve">
        <w:t> </w:t>
      </w:r>
      <w:r>
        <w:t xml:space="preserve">the comptroller shall submit to the legislature an estimate of the total taxable value of all property in the state as determined under Subchapter M, Chapter 403, Government Code, for the following biennium.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