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88R1051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exemption of certain property from municipal drainage service charges.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552.053, Local Government Code, is amended by adding Subsections (d-2) and (d-3)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exempt property from all or a portion of drainage charges under Section 552.047 if the property is used as the principal residence of an individual who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disabled as defined by Section 11.13(m), Tax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65 years of age or older;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veteran of the armed services of the United States;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member of the armed services of the United States on active deployment.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municipality may impose additional eligibility requirements for an exemption authorized under Subsection (d-2).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