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88R2005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liability of certain businesses in connection with allowing concealed handguns on the business premises.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95A, Civil Practice and Remedies Code, is amended by adding Section 95A.0002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95A.0002.</w:t>
      </w:r>
      <w:r>
        <w:rPr>
          <w:u w:val="single"/>
        </w:rPr>
        <w:t xml:space="preserve"> </w:t>
      </w:r>
      <w:r>
        <w:rPr>
          <w:u w:val="single"/>
        </w:rPr>
        <w:t xml:space="preserve"> </w:t>
      </w:r>
      <w:r>
        <w:rPr>
          <w:u w:val="single"/>
        </w:rPr>
        <w:t xml:space="preserve">LIABILITY OF BUSINESS IN CONNECTION WITH ALLOWING CONCEALED HANDGUNS.  (a)  In this section, "license holder" means a person licensed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with control over the premises of a business who allows entry on the premises by a license holder with a concealed handgun is not liable based solely on that permission for damages arising from the lawful carrying of a concealed handgun on the premises by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the lack of an oral or written communication that constitutes notice for purposes of Section 30.06, Penal Code, is sufficient to constitute allowing entry on the premises by a license holder with a concealed handgun.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95A.0002, Civil Practice and Remedies Code, as added by this Act, does not apply to a cause of action that accrued before the effective date of this Act.  A cause of action that accrued before the effective date of this Act is governed by the law applicable to the cause of action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