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88R1782 DIO-D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Bucy, Smith, Capriglione, Garcia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requirements to access the online tracker of an application for a ballot to be voted by mail.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86.015(b),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online tool developed or provided under Subsection (a) must require the voter to provide, before permitting the voter to access information described by that subsection: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voter's name and </w:t>
      </w:r>
      <w:r>
        <w:rPr>
          <w:u w:val="single"/>
        </w:rPr>
        <w:t xml:space="preserve">date of birth</w:t>
      </w:r>
      <w:r>
        <w:t xml:space="preserve"> [</w:t>
      </w:r>
      <w:r>
        <w:rPr>
          <w:strike/>
        </w:rPr>
        <w:t xml:space="preserve">registration address and the last four digits of the voter's social security number</w:t>
      </w:r>
      <w:r>
        <w:t xml:space="preserve">];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voter's[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driver's license number</w:t>
      </w:r>
      <w:r>
        <w:rPr>
          <w:u w:val="single"/>
        </w:rPr>
        <w:t xml:space="preserve">, the voter's</w:t>
      </w:r>
      <w:r>
        <w:t xml:space="preserve"> [</w:t>
      </w:r>
      <w:r>
        <w:rPr>
          <w:strike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personal identification card number issued by the Department of Public Safety</w:t>
      </w:r>
      <w:r>
        <w:rPr>
          <w:u w:val="single"/>
        </w:rPr>
        <w:t xml:space="preserve">, or the last four digits of the voter's social security number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