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requirements to access the online tracker of an application for a ballot to be voted by mail and to the date of runoff elections.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2.025, Election Code, is amended by amending Subsection (a)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 (d) or as otherwise provided by this code, a runoff election shall be held </w:t>
      </w:r>
      <w:r>
        <w:rPr>
          <w:u w:val="single"/>
        </w:rPr>
        <w:t xml:space="preserve">on a Saturday designated by the secretary of state</w:t>
      </w:r>
      <w:r>
        <w:t xml:space="preserve"> [</w:t>
      </w:r>
      <w:r>
        <w:rPr>
          <w:strike/>
        </w:rPr>
        <w:t xml:space="preserve">not earlier than the 20th or later than the 45th day after the date the final canvass of the main election is completed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date designated by the secretary of state under this section for a runoff election: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be: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earlier than the 30th day after the date of the main election;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the 45th day after the date of the main election;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not: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a national or state holiday under Section 1.006(f);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have an early voting period that includes a national or state holiday under Section 1.006(f).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86.015(b),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online tool developed or provided under Subsection (a) must require the voter to provide, before permitting the voter to access information described by that subsection: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voter's name and </w:t>
      </w:r>
      <w:r>
        <w:rPr>
          <w:u w:val="single"/>
        </w:rPr>
        <w:t xml:space="preserve">date of birth</w:t>
      </w:r>
      <w:r>
        <w:t xml:space="preserve"> [</w:t>
      </w:r>
      <w:r>
        <w:rPr>
          <w:strike/>
        </w:rPr>
        <w:t xml:space="preserve">registration address</w:t>
      </w:r>
      <w:r>
        <w:t xml:space="preserve">] and the last four digits of the voter's social security number;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voter's: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driver's license number;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personal identification card number issued by the Department of Public Safety.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2.025(b), Election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357 was passed by the House on April 27, 2023, by the following vote:</w:t>
      </w:r>
      <w:r xml:space="preserve">
        <w:t> </w:t>
      </w:r>
      <w:r xml:space="preserve">
        <w:t> </w:t>
      </w:r>
      <w:r>
        <w:t xml:space="preserve">Yeas 145, Nays 0, 1 present, not voting; that the House refused to concur in Senate amendments to H.B. No. 357 on May 25, 2023, and requested the appointment of a conference committee to consider the differences between the two houses; and that the House adopted the conference committee report on H.B. No. 357 on May 28, 2023, by the following vote:</w:t>
      </w:r>
      <w:r xml:space="preserve">
        <w:t> </w:t>
      </w:r>
      <w:r xml:space="preserve">
        <w:t> </w:t>
      </w:r>
      <w:r>
        <w:t xml:space="preserve">Yeas 140,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>
      <w:r>
        <w:br w:type="page"/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357 was passed by the Senate, with amendments, on May 21, 2023, by the following vote:</w:t>
      </w:r>
      <w:r xml:space="preserve">
        <w:t> </w:t>
      </w:r>
      <w:r xml:space="preserve">
        <w:t> </w:t>
      </w:r>
      <w:r>
        <w:t xml:space="preserve">Yeas 31, Nays 0; at the request of the House, the Senate appointed a conference committee to consider the differences between the two houses; and that the Senate adopted the conference committee report on H.B. No. 357 on May 28, 2023,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