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1,</w:t>
      </w:r>
      <w:r xml:space="preserve">
        <w:t> </w:t>
      </w:r>
      <w:r>
        <w:t xml:space="preserve">2023; May</w:t>
      </w:r>
      <w:r xml:space="preserve">
        <w:t> </w:t>
      </w:r>
      <w:r>
        <w:t xml:space="preserve">2,</w:t>
      </w:r>
      <w:r xml:space="preserve">
        <w:t> </w:t>
      </w:r>
      <w:r>
        <w:t xml:space="preserve">2023, read first time and referred to Committee on State Affairs; May</w:t>
      </w:r>
      <w:r xml:space="preserve">
        <w:t> </w:t>
      </w:r>
      <w:r>
        <w:t xml:space="preserve">16,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requirements to access the online tracker of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86.015(b),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online tool developed or provided under Subsection (a) must require the voter to provide, before permitting the voter to access information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voter's name and </w:t>
      </w:r>
      <w:r>
        <w:rPr>
          <w:u w:val="single"/>
        </w:rPr>
        <w:t xml:space="preserve">date of birth</w:t>
      </w:r>
      <w:r>
        <w:t xml:space="preserve"> [</w:t>
      </w:r>
      <w:r>
        <w:rPr>
          <w:strike/>
        </w:rPr>
        <w:t xml:space="preserve">registration address</w:t>
      </w:r>
      <w:r>
        <w:t xml:space="preserve">] and the last four digits of the voter's social security number;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voter's: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driver's license number;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personal identification card number issued by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