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 of returning a ballot to be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4.003, Election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In addition to any other notice given for an election under Subsection (a), not later than the 21st day before election day, a county shall post a copy of a notice of the election given by the county or provided to the county under Section 4.008(a)[</w:t>
      </w:r>
      <w:r>
        <w:rPr>
          <w:strike/>
        </w:rPr>
        <w:t xml:space="preserve">, which must include the location of each polling place,</w:t>
      </w:r>
      <w:r>
        <w:t xml:space="preserve">] on the county's Internet website, if the county maintains a website. An authority responsible for giving notice of an election may post a copy of the notice on the bulletin board used for posting notices of the meetings of the governing body of the political subdivision that the authority serves. If a county does not maintain a website, the authority responsible for giving notice of the election shall post a copy of a notice of the election on the bulletin board used for posting notices of the meetings of the governing body of the political subdivision that the authority serves. For each precinct that is combined to form a consolidated precinct under Section 42.008, not later than the 10th day before election day, the authority shall also post, at the polling place used in the preceding general election, notice of the precinct's consolidation and the location of the polling place in the consolidated precinct. A notice posted under this subsection must remain posted continuously through election day.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notice given under Subsection (b)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of each polling place that will be open on election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of each polling place that will be open for early voting;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location that will be available to voters to deliver a marked ballot under Section 86.006(a-3).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86.006, Election Code, is amended by amending Subsection (a-1) and adding Subsections (a-3) and (a-4) to read as follows:</w:t>
      </w:r>
    </w:p>
    <w:p w:rsidR="003F3435" w:rsidRDefault="0032493E">
      <w:pPr>
        <w:spacing w:line="480" w:lineRule="auto"/>
        <w:ind w:firstLine="720"/>
        <w:jc w:val="both"/>
      </w:pPr>
      <w:r>
        <w:t xml:space="preserve">(a-1)</w:t>
      </w:r>
      <w:r xml:space="preserve">
        <w:t> </w:t>
      </w:r>
      <w:r xml:space="preserve">
        <w:t> </w:t>
      </w:r>
      <w:r>
        <w:t xml:space="preserve">The voter may deliver a marked ballot in person to the early voting clerk's office </w:t>
      </w:r>
      <w:r>
        <w:rPr>
          <w:u w:val="single"/>
        </w:rPr>
        <w:t xml:space="preserve">or to another designated location</w:t>
      </w:r>
      <w:r>
        <w:t xml:space="preserve"> [</w:t>
      </w:r>
      <w:r>
        <w:rPr>
          <w:strike/>
        </w:rPr>
        <w:t xml:space="preserve">only</w:t>
      </w:r>
      <w:r>
        <w:t xml:space="preserve">] while the polls are open on election day </w:t>
      </w:r>
      <w:r>
        <w:rPr>
          <w:u w:val="single"/>
        </w:rPr>
        <w:t xml:space="preserve">or during the early voting period</w:t>
      </w:r>
      <w:r>
        <w:t xml:space="preserve">. </w:t>
      </w:r>
      <w:r>
        <w:t xml:space="preserve"> </w:t>
      </w:r>
      <w:r>
        <w:t xml:space="preserve">A voter who delivers a marked ballot in person </w:t>
      </w:r>
      <w:r>
        <w:rPr>
          <w:u w:val="single"/>
        </w:rPr>
        <w:t xml:space="preserve">may return only the voter's own ballot and</w:t>
      </w:r>
      <w:r>
        <w:t xml:space="preserve"> must present an acceptable form of identification described by Section 63.0101.</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county clerk may designate any of the following locations for delivering marked ballots under Subsection (a-1):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early voting clerk's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polling place open for early voting or for election day;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suitable location that meets criteria prescribed by the secretary of state.</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To ensure that locations designated for delivering marked ballots are accessible and secure, the secretary of state shall adopt rules establishing criteria for a location that a county clerk may designate under Subsection (a-3).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