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88R202 ANG-D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Toth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360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requiring the disclosure of certain information regarding public school teaching materials and activities.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26, Education Code, is amended by adding Section 26.0061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26.0061.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REQUIRED DISCLOSURE REGARDING TEACHING MATERIALS AND ACTIVITIES.  (a)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"Activity" includes a presentation, assembly, lecture, or other event facilitated by a school district or open-enrollment charter school, other than a student presentation.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"Teaching material" includes: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instructional material, as that term is defined by Section 31.002;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teaching aids;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other material a student is given the option to select for the student's instruction.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Subsection (h), not later than the fifth day of each month, each school district and open-enrollment charter school shall make available to the public on the district's or school's Internet website: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list disaggregated by subject area and grade level that states all information, including the title, author, organization, or Internet website, as applicable, necessary to identify a teaching material or activity that was assigned, distributed, or otherwise presented to the district's or school's students during the preceding month in: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course for which students receive academic credit;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educational event that the district or school requires students to attend or in which a majority of students participate;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district's or school's procedures for documenting, reviewing, or approving a teaching material or activity described by Subdivision (1);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changes made in the preceding month to the procedures described by Subdivision (2).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purposes of Subsection (b)(1), a school district or open-enrollment charter school is not required to list the individual components of teaching materials produced as a single volume, except that, for a volume that contains works by multiple authors, the district or school shall include in the list under that subsection: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table of contents for the volume;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link to an Internet website that discloses the title and author of each work included in the volume.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Information posted to a school district's or open-enrollment charter school's Internet website under Subsection (b) must be maintained on the website for not less than one year.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or open-enrollment charter school may use collaborative online document or spreadsheet software to prepare or post on the district's or school's Internet website the information required under Subsection (b).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requested by the parents of five or more enrolled students who are not siblings, a school district or open-enrollment charter school shall conduct: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administrative review to determine whether the information required to be posted on the district's or school's Internet website under Subsection (b) was posted as required by that subsection;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review of the teaching materials and activities described by Subsection (b) to determine whether each teaching material and activity is: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appropriate for the grade level at which the material or activity is used;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aligned with the essential knowledge and skills for the grade level at which the material or activity is used.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require a school district or open-enrollment charter school to reproduce a teaching material or activity described by Subsection (b)(1).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apply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or open-enrollment charter school with a student enrollment of less than 300 students;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teaching material or activity described by Subsection (b)(1) that is selected independently by teachers employed at a campus with a student enrollment of less than 50 students for use only at that campus.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360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