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88R1708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information about the process of voting as part of the social studies curriculum requirements for public high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 (c-4) to read as follows: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State Board of Education shall adopt rules requiring a high school student, as part of the social studies curriculum under Subsection (a)(1)(D), to be provided at least once with practical information about the process of voting in public elections, including specific information about using the type of voting machines used by the county in which the student is enrolled. The rules shall require a school district, to the extent practicable, to seek assistance and cooperation from the county election office in providing students with exposure to and experience using the applicable voting machine.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