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88R1232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Eid al-Fitr, Eid al-Adha, and Diwali as optional holidays.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662.003(c),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"optional holiday" includes only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days on which Rosh Hashanah, Yom Kippur, </w:t>
      </w:r>
      <w:r>
        <w:rPr>
          <w:u w:val="single"/>
        </w:rPr>
        <w:t xml:space="preserve">Eid al-Fitr, Eid al-Adha,</w:t>
      </w:r>
      <w:r>
        <w:t xml:space="preserve"> or Good Friday </w:t>
      </w:r>
      <w:r>
        <w:rPr>
          <w:u w:val="single"/>
        </w:rPr>
        <w:t xml:space="preserve">fall;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day of the Diwali festival selected by the state employee observing the optional holiday</w:t>
      </w:r>
      <w:r>
        <w:t xml:space="preserve"> </w:t>
      </w:r>
      <w:r>
        <w:t xml:space="preserve">[</w:t>
      </w:r>
      <w:r>
        <w:rPr>
          <w:strike/>
        </w:rPr>
        <w:t xml:space="preserve">falls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