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and inclusion of extraterritorial jurisdiction by a municipality involving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42, Local Government Code, is amended by adding Section 42.0253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42.0253.</w:t>
      </w:r>
      <w:r>
        <w:rPr>
          <w:u w:val="single"/>
        </w:rPr>
        <w:t xml:space="preserve"> </w:t>
      </w:r>
      <w:r>
        <w:rPr>
          <w:u w:val="single"/>
        </w:rPr>
        <w:t xml:space="preserve"> </w:t>
      </w:r>
      <w:r>
        <w:rPr>
          <w:u w:val="single"/>
        </w:rPr>
        <w:t xml:space="preserve">RELEASE AND INCLUSION OF EXTRATERRITORIAL JURISDICTION: CERTAIN AREAS.  (a)  This section applies only to an area that is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extraterritorial jurisdiction of a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less than 75,000 that is adjacent to three counties with populations of more than 450,000.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majority of the registered voters in an area subject to this section may petition the municipality to release the area from the municipality's extraterritorial jurisdiction.  The petition must be filed with the secretary or clerk of the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10th day after the date the secretary or clerk receives a petition under Subsection (b),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releasing the area from the municipality's</w:t>
      </w:r>
      <w:r>
        <w:rPr>
          <w:u w:val="single"/>
        </w:rPr>
        <w:t xml:space="preserve"> </w:t>
      </w:r>
      <w:r>
        <w:rPr>
          <w:u w:val="single"/>
        </w:rPr>
        <w:t xml:space="preserve">extraterritorial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area released under Subsection (c) becomes an unincorporated area of the county. </w:t>
      </w:r>
      <w:r>
        <w:rPr>
          <w:u w:val="single"/>
        </w:rPr>
        <w:t xml:space="preserve"> </w:t>
      </w:r>
      <w:r>
        <w:rPr>
          <w:u w:val="single"/>
        </w:rPr>
        <w:t xml:space="preserve">A municipality may include the area in the municipality's extraterritorial jurisdiction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is otherwise eligible to include the area in its extraterritorial jurisdiction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receives a petition signed by a majority of the registered voters of the area requesting inclusion.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