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88R1330 JRR-D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Thompson of Harris</w:t>
      </w:r>
      <w:r xml:space="preserve">
        <w:tab wTab="150" tlc="none" cTlc="0"/>
      </w:r>
      <w:r>
        <w:t xml:space="preserve">H.B.</w:t>
      </w:r>
      <w:r xml:space="preserve">
        <w:t> </w:t>
      </w:r>
      <w:r>
        <w:t xml:space="preserve">No.</w:t>
      </w:r>
      <w:r xml:space="preserve">
        <w:t> </w:t>
      </w:r>
      <w:r>
        <w:t xml:space="preserve">392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date on which certain persons placed on deferred adjudication community supervision are eligible to file a petition for an order of nondisclosure of criminal history record information.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411.0725(e), Government Code, is amended to read as follows:</w:t>
      </w:r>
    </w:p>
    <w:p w:rsidR="003F3435" w:rsidRDefault="0032493E">
      <w:pPr>
        <w:spacing w:line="480" w:lineRule="auto"/>
        <w:ind w:firstLine="720"/>
        <w:jc w:val="both"/>
      </w:pPr>
      <w:r>
        <w:t xml:space="preserve">(e)</w:t>
      </w:r>
      <w:r xml:space="preserve">
        <w:t> </w:t>
      </w:r>
      <w:r xml:space="preserve">
        <w:t> </w:t>
      </w:r>
      <w:r>
        <w:t xml:space="preserve">A person may petition the court that placed the person on deferred adjudication community supervision for an order of nondisclosure of criminal history record information under this section only on or after:</w:t>
      </w:r>
    </w:p>
    <w:p w:rsidR="003F3435" w:rsidRDefault="0032493E">
      <w:pPr>
        <w:spacing w:line="480" w:lineRule="auto"/>
        <w:ind w:firstLine="1440"/>
        <w:jc w:val="both"/>
      </w:pPr>
      <w:r>
        <w:t xml:space="preserve">(1)</w:t>
      </w:r>
      <w:r xml:space="preserve">
        <w:t> </w:t>
      </w:r>
      <w:r xml:space="preserve">
        <w:t> </w:t>
      </w:r>
      <w:r>
        <w:t xml:space="preserve">the discharge and dismissal, if the offense for which the person was placed on deferred adjudication was a misdemeanor other than a misdemeanor described by Subdivision </w:t>
      </w:r>
      <w:r>
        <w:rPr>
          <w:u w:val="single"/>
        </w:rPr>
        <w:t xml:space="preserve">(2)(A)</w:t>
      </w:r>
      <w:r>
        <w:t xml:space="preserve"> [</w:t>
      </w:r>
      <w:r>
        <w:rPr>
          <w:strike/>
        </w:rPr>
        <w:t xml:space="preserve">(2)</w:t>
      </w:r>
      <w:r>
        <w:t xml:space="preserve">];</w:t>
      </w:r>
    </w:p>
    <w:p w:rsidR="003F3435" w:rsidRDefault="0032493E">
      <w:pPr>
        <w:spacing w:line="480" w:lineRule="auto"/>
        <w:ind w:firstLine="1440"/>
        <w:jc w:val="both"/>
      </w:pPr>
      <w:r>
        <w:t xml:space="preserve">(2)</w:t>
      </w:r>
      <w:r xml:space="preserve">
        <w:t> </w:t>
      </w:r>
      <w:r xml:space="preserve">
        <w:t> </w:t>
      </w:r>
      <w:r>
        <w:t xml:space="preserve">the </w:t>
      </w:r>
      <w:r>
        <w:rPr>
          <w:u w:val="single"/>
        </w:rPr>
        <w:t xml:space="preserve">first</w:t>
      </w:r>
      <w:r>
        <w:t xml:space="preserve"> [</w:t>
      </w:r>
      <w:r>
        <w:rPr>
          <w:strike/>
        </w:rPr>
        <w:t xml:space="preserve">second</w:t>
      </w:r>
      <w:r>
        <w:t xml:space="preserve">] anniversary of the discharge and dismissal, if the offense for which the person was placed on deferred adjudication was</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a misdemeanor under Chapter 20, 21, 22, 25, 42, 43, or 46, Penal Code;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state jail felony listed in Article 42A.551(a), Code of Criminal Procedure; or</w:t>
      </w:r>
    </w:p>
    <w:p w:rsidR="003F3435" w:rsidRDefault="0032493E">
      <w:pPr>
        <w:spacing w:line="480" w:lineRule="auto"/>
        <w:ind w:firstLine="1440"/>
        <w:jc w:val="both"/>
      </w:pPr>
      <w:r>
        <w:t xml:space="preserve">(3)</w:t>
      </w:r>
      <w:r xml:space="preserve">
        <w:t> </w:t>
      </w:r>
      <w:r xml:space="preserve">
        <w:t> </w:t>
      </w:r>
      <w:r>
        <w:t xml:space="preserve">the </w:t>
      </w:r>
      <w:r>
        <w:rPr>
          <w:u w:val="single"/>
        </w:rPr>
        <w:t xml:space="preserve">third</w:t>
      </w:r>
      <w:r>
        <w:t xml:space="preserve"> [</w:t>
      </w:r>
      <w:r>
        <w:rPr>
          <w:strike/>
        </w:rPr>
        <w:t xml:space="preserve">fifth</w:t>
      </w:r>
      <w:r>
        <w:t xml:space="preserve">] anniversary of the discharge and dismissal, if the offense for which the person was placed on deferred adjudication was a felony </w:t>
      </w:r>
      <w:r>
        <w:rPr>
          <w:u w:val="single"/>
        </w:rPr>
        <w:t xml:space="preserve">other than a state jail felony described by Subdivision (2)(B)</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392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