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393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restitution payments for the support of a child whose parent or guardian is a victim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42.0375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42.0375.</w:t>
      </w:r>
      <w:r>
        <w:rPr>
          <w:u w:val="single"/>
        </w:rPr>
        <w:t xml:space="preserve"> </w:t>
      </w:r>
      <w:r>
        <w:rPr>
          <w:u w:val="single"/>
        </w:rPr>
        <w:t xml:space="preserve"> </w:t>
      </w:r>
      <w:r>
        <w:rPr>
          <w:u w:val="single"/>
        </w:rPr>
        <w:t xml:space="preserve">MANDATORY RESTITUTION FOR CHILD OF VICTIM OF INTOXICATION MANSLAUGHTER.  (a)  The court shall order a defendant convicted of an offense under Section 49.08, Penal Code, to pay restitution for a child whose parent or guardian was the victim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Article 42.037(g) and subject to Subsection (c), the court shall determine an amount to be paid monthly for the support of the child until the child reaches 18 years of age or has graduated from high school, whichever is later.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defendant may not be required to pay restitution under this article to an individual who is 19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determine an amount for restitution under this article that is reasonable and necessary to support the child, considering all relevant factors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needs and resources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needs and resources of the surviving parent or guardian or other current guardian of the child or, if applicable, the financial resources of the state if the Department of Family and Protective Services has been appointed as temporary or permanent managing conservator of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standard of living to which the child is accustomed;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physical and emotional condition of the child and the child's educational needs;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child's physical and legal custody arrangements;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reasonable work-related child care expenses of the surviving parent or guardian or other current guardian, if applicable;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financial resources of the defendant.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order must require restitution payments to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delivered in the manner described by Article 42.037(g-2)(1) or (3), as appropriate;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directed to the parent or guardian of the child or the Department of Family and Protective Services, as applicable.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defendant ordered to pay restitution under this article is unable to make the required restitution payments because the defendant is confined or imprisoned in a correctional facility, the defendant shall begin payments not later than the first anniversary of the date of the defendant's release from the facility.  The defendant may enter into a payment plan to address any arrearage that exists on the date of the defendant's release.  The defendant must pay all arrearages regardless of whether the restitution payments were scheduled to terminate while the defendant was confined or imprisoned in the correctional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amount of restitution paid under this article shall be deducted from any civil judgment against the defendant as provided by Article 42.037(f)(2).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restitution order issued under this article may be enforced by the office of the attorney general, or by a person or a parent or guardian of the person named in the order to receive the restitution, in the same manner as a judgment in a civil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393 was passed by the House on April 11, 2023, by the following vote:</w:t>
      </w:r>
      <w:r xml:space="preserve">
        <w:t> </w:t>
      </w:r>
      <w:r xml:space="preserve">
        <w:t> </w:t>
      </w:r>
      <w:r>
        <w:t xml:space="preserve">Yeas 142,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393 was passed by the Senate on May 15,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