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88R2826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ad valorem taxation of property owned by an economic development corporation and used for a public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11.11, Tax Code, is amended by adding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owned by a Type A corporation created under Chapter 504, Local Government Code, or a Type B corporation created under Chapter 505 of that code is exempt from taxation if the property is used for a public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tax year beginning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