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88R20457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399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399:</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orders of nondisclosure of criminal history record information for certain misdemeanor defendants following successful completion of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was placed on deferred adjudication community supervision under Subchapter C, Chapter 42A, Code of Criminal Procedure, for a misdemeanor other than a misdemeanor:</w:t>
      </w:r>
    </w:p>
    <w:p w:rsidR="003F3435" w:rsidRDefault="0032493E">
      <w:pPr>
        <w:spacing w:line="480" w:lineRule="auto"/>
        <w:ind w:firstLine="2160"/>
        <w:jc w:val="both"/>
      </w:pPr>
      <w:r>
        <w:t xml:space="preserve">(A)</w:t>
      </w:r>
      <w:r xml:space="preserve">
        <w:t> </w:t>
      </w:r>
      <w:r xml:space="preserve">
        <w:t> </w:t>
      </w:r>
      <w:r>
        <w:t xml:space="preserve">under:</w:t>
      </w:r>
    </w:p>
    <w:p w:rsidR="003F3435" w:rsidRDefault="0032493E">
      <w:pPr>
        <w:spacing w:line="480" w:lineRule="auto"/>
        <w:ind w:firstLine="2880"/>
        <w:jc w:val="both"/>
      </w:pPr>
      <w:r>
        <w:t xml:space="preserve">(i)</w:t>
      </w:r>
      <w:r xml:space="preserve">
        <w:t> </w:t>
      </w:r>
      <w:r xml:space="preserve">
        <w:t> </w:t>
      </w:r>
      <w:r>
        <w:t xml:space="preserve">Section 49.04 or 49.06, Penal Code; or</w:t>
      </w:r>
    </w:p>
    <w:p w:rsidR="003F3435" w:rsidRDefault="0032493E">
      <w:pPr>
        <w:spacing w:line="480" w:lineRule="auto"/>
        <w:ind w:firstLine="2880"/>
        <w:jc w:val="both"/>
      </w:pPr>
      <w:r>
        <w:t xml:space="preserve">(ii)</w:t>
      </w:r>
      <w:r xml:space="preserve">
        <w:t> </w:t>
      </w:r>
      <w:r xml:space="preserve">
        <w:t> </w:t>
      </w:r>
      <w:r>
        <w:t xml:space="preserve">Chapter 20, 21, 22, 25, 42, 43, 46, or 71, Penal Code; or</w:t>
      </w:r>
    </w:p>
    <w:p w:rsidR="003F3435" w:rsidRDefault="0032493E">
      <w:pPr>
        <w:spacing w:line="480" w:lineRule="auto"/>
        <w:ind w:firstLine="2160"/>
        <w:jc w:val="both"/>
      </w:pPr>
      <w:r>
        <w:t xml:space="preserve">(B)</w:t>
      </w:r>
      <w:r xml:space="preserve">
        <w:t> </w:t>
      </w:r>
      <w:r xml:space="preserve">
        <w:t> </w:t>
      </w:r>
      <w:r>
        <w:t xml:space="preserve">with respect to which an affirmative finding under Article 42A.105(f), Code of Criminal Procedure, or former Section 5(k), Article 42.12, Code of Criminal Procedure, was filed in the papers of the case; and</w:t>
      </w:r>
    </w:p>
    <w:p w:rsidR="003F3435" w:rsidRDefault="0032493E">
      <w:pPr>
        <w:spacing w:line="480" w:lineRule="auto"/>
        <w:ind w:firstLine="1440"/>
        <w:jc w:val="both"/>
      </w:pPr>
      <w:r>
        <w:t xml:space="preserve">(2)</w:t>
      </w:r>
      <w:r xml:space="preserve">
        <w:t> </w:t>
      </w:r>
      <w:r xml:space="preserve">
        <w:t> </w:t>
      </w:r>
      <w:r>
        <w:t xml:space="preserve">has </w:t>
      </w:r>
      <w:r>
        <w:rPr>
          <w:u w:val="single"/>
        </w:rPr>
        <w:t xml:space="preserve">not more than one previous offense, other than a traffic offense that is punishable by fine only, for which the person was</w:t>
      </w:r>
      <w:r>
        <w:t xml:space="preserve"> [</w:t>
      </w:r>
      <w:r>
        <w:rPr>
          <w:strike/>
        </w:rPr>
        <w:t xml:space="preserve">never been previously</w:t>
      </w:r>
      <w:r>
        <w:t xml:space="preserve">] convicted [</w:t>
      </w:r>
      <w:r>
        <w:rPr>
          <w:strike/>
        </w:rPr>
        <w:t xml:space="preserve">of</w:t>
      </w:r>
      <w:r>
        <w:t xml:space="preserve">] or placed on deferred adjudication community supervision [</w:t>
      </w:r>
      <w:r>
        <w:rPr>
          <w:strike/>
        </w:rPr>
        <w:t xml:space="preserve">for another offense other than a traffic offense that is punishable by fine only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411.0716(b), Government Code, the change in law made by this Act to Section 411.072, Government Code, applies only to a person described by Subsection (a) of that section who receives a dismissal and discharge under Article 42A.111, Code of Criminal Procedure, on or after the effective date of this Act.  A person who receives a dismissal and discharge under Article 42A.111, Code of Criminal Procedure, before the effective date of this Act is governed by the law in effect on the date the dismissal and discharge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