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Cain, et al.</w:t>
      </w:r>
      <w:r xml:space="preserve">
        <w:tab wTab="150" tlc="none" cTlc="0"/>
      </w:r>
      <w:r>
        <w:t xml:space="preserve">H.B.</w:t>
      </w:r>
      <w:r xml:space="preserve">
        <w:t> </w:t>
      </w:r>
      <w:r>
        <w:t xml:space="preserve">No.</w:t>
      </w:r>
      <w:r xml:space="preserve">
        <w:t> </w:t>
      </w:r>
      <w:r>
        <w:t xml:space="preserve">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policies regarding the issuance of citations for misdemeanors punishable by fine only and to a limitation on the authority to arrest a person for certain fine-only misdemeanors.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2.1309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2.1309.</w:t>
      </w:r>
      <w:r>
        <w:rPr>
          <w:u w:val="single"/>
        </w:rPr>
        <w:t xml:space="preserve"> </w:t>
      </w:r>
      <w:r>
        <w:rPr>
          <w:u w:val="single"/>
        </w:rPr>
        <w:t xml:space="preserve"> </w:t>
      </w:r>
      <w:r>
        <w:rPr>
          <w:u w:val="single"/>
        </w:rPr>
        <w:t xml:space="preserve">CITE AND RELEASE POLICY.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Bill Blackwood Law Enforcement Management Institute of Texas, in collaboration with law enforcement agencies, law enforcement associations, law enforcement training experts, and community organizations engaged in the development of law enforcement policy, shall publish a written model policy regarding the issuance of citations for misdemeanor offenses, including traffic offenses, that are punishable by fine only.  The policy must provide a procedure for a peace officer, on a person's presentation of appropriate identification, to verify the person's identity and issue a citation to the person.  The policy must comply with Articles 14.01, 14.03, and 14.06 of this code and Sections 543.001 and 543.004, Transportation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adopt a written policy regarding the issuance of citations for misdemeanor offenses, including traffic offenses, that are punishable by fine only.  The policy must meet the requirements for the model policy described by Subsection (b).  A law enforcement agency may adopt the model policy published by the Bill Blackwood Law Enforcement Management Institute of Texas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543.001, Transportation Code, is amended to read as follows:</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r>
        <w:rPr>
          <w:u w:val="single"/>
        </w:rPr>
        <w:t xml:space="preserve">, other than a person found only committing one or more misdemeanors punishable by fine only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 </w:t>
      </w:r>
      <w:r>
        <w:rPr>
          <w:u w:val="single"/>
        </w:rPr>
        <w:t xml:space="preserve">a misdemeanor under this subtitle that is punishable by fine only</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speeding;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of a wireless communication device under Section 545.4251;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violation of the open container law, Section 49.031, Penal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January 1, 2024, the Bill Blackwood Law Enforcement Management Institute of Texas </w:t>
      </w:r>
      <w:r>
        <w:t xml:space="preserve">shall publish the model policy required by Article 2.1309(b),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2024, each law enforcement agency in this state shall adopt the policy required by Article 2.1309(c),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