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corroboration of certain testimony in a criminal case involving a controlled substance.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