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88R1323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create a county ethics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161.001,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161.001.</w:t>
      </w:r>
      <w:r xml:space="preserve">
        <w:t> </w:t>
      </w:r>
      <w:r xml:space="preserve">
        <w:t> </w:t>
      </w:r>
      <w:r>
        <w:t xml:space="preserve">APPLICABILITY OF CHAPTER.  This 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800,000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on the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before September 1, 2009, had a county ethics board appointed by the commissioners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425,000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3.3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contains a portion of the San Jacinto River;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county that has a population of less than 40,000 that is adjacent to a county with a population of more than 3.3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that has a population of more than 3.3 million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