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88R2323 SGM-F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date of the primary election runoff.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41.007, Election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runoff primary election date is the </w:t>
      </w:r>
      <w:r>
        <w:rPr>
          <w:u w:val="single"/>
        </w:rPr>
        <w:t xml:space="preserve">second</w:t>
      </w:r>
      <w:r>
        <w:t xml:space="preserve"> [</w:t>
      </w:r>
      <w:r>
        <w:rPr>
          <w:strike/>
        </w:rPr>
        <w:t xml:space="preserve">fourth</w:t>
      </w:r>
      <w:r>
        <w:t xml:space="preserve">] Tuesday in </w:t>
      </w:r>
      <w:r>
        <w:rPr>
          <w:u w:val="single"/>
        </w:rPr>
        <w:t xml:space="preserve">April</w:t>
      </w:r>
      <w:r>
        <w:t xml:space="preserve"> [</w:t>
      </w:r>
      <w:r>
        <w:rPr>
          <w:strike/>
        </w:rPr>
        <w:t xml:space="preserve">May</w:t>
      </w:r>
      <w:r>
        <w:t xml:space="preserve">] following the general primary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runoff primary election date for an election for federal office is the fourth Tuesday in May following the general primary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