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88R1429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criteria and qualifications for distributions under the rural volunteer fire department assistance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614.102(c),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director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determine reasonable criteria and qualifications for the distribution of money from the volunteer fire department assistance fund,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frequency, size, and severity of past wildfires in a volunteer fire department's jurisdiction;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potential for loss or damage to property resulting from future wildfires in the department's jurisdiction;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the age of the equipment used by the department;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 xml:space="preserve">
        <w:t> </w:t>
      </w:r>
      <w:r>
        <w:t xml:space="preserve">the department's need for emergency assistance under Section 614.103(a-1);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establish a procedure for reporting and processing requests for money from the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