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88R2221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where certain sales are consummated for purposes of local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321.203(e) and (e-1), Tax Code, are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If Subsections (b), (c), (c-1), and (d) do not apply, a</w:t>
      </w:r>
      <w:r>
        <w:t xml:space="preserve"> [</w:t>
      </w:r>
      <w:r>
        <w:rPr>
          <w:strike/>
        </w:rPr>
        <w:t xml:space="preserve">A</w:t>
      </w:r>
      <w:r>
        <w:t xml:space="preserve">] sale of a taxable item is consummated at the location in this state </w:t>
      </w:r>
      <w:r>
        <w:rPr>
          <w:u w:val="single"/>
        </w:rPr>
        <w:t xml:space="preserve">where the item was stored immediately before shipment, delivery, or transfer of possession to the customer</w:t>
      </w:r>
      <w:r>
        <w:t xml:space="preserve"> [</w:t>
      </w:r>
      <w:r>
        <w:rPr>
          <w:strike/>
        </w:rPr>
        <w:t xml:space="preserve">to which the item is shipped or delivered or at which possession is taken by the customer if transfer of possession of the item occurs at, or shipment or delivery of the item originates from, a location in this state other than a place of business of the retailer and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retailer is an itinerant vendor who has no place of business in this state;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retailer's place of business where the purchase order is initially received or from which the retailer's agent or employee who took the order operates is outside this state;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purchaser places the order directly with the retailer's supplier and the item is shipped or delivered directly to the purchaser by the supplier</w:t>
      </w:r>
      <w:r>
        <w:t xml:space="preserve">].</w:t>
      </w:r>
    </w:p>
    <w:p w:rsidR="003F3435" w:rsidRDefault="0032493E">
      <w:pPr>
        <w:spacing w:line="480" w:lineRule="auto"/>
        <w:ind w:firstLine="720"/>
        <w:jc w:val="both"/>
      </w:pPr>
      <w:r>
        <w:t xml:space="preserve">(e-1)</w:t>
      </w:r>
      <w:r xml:space="preserve">
        <w:t> </w:t>
      </w:r>
      <w:r xml:space="preserve">
        <w:t> </w:t>
      </w:r>
      <w:r>
        <w:t xml:space="preserve">Except as otherwise provided by Subsection (f), (g), (g-1), (g-2), (g-3), (h), (i), (j), (k), (m), or (n), a sale of a taxable item made by a marketplace seller through a marketplace as provided by Section 151.0242 is consummated at the location in this state </w:t>
      </w:r>
      <w:r>
        <w:rPr>
          <w:u w:val="single"/>
        </w:rPr>
        <w:t xml:space="preserve">where the item was stored immediately before shipment, delivery, or transfer of possession to the customer</w:t>
      </w:r>
      <w:r>
        <w:t xml:space="preserve"> [</w:t>
      </w:r>
      <w:r>
        <w:rPr>
          <w:strike/>
        </w:rPr>
        <w:t xml:space="preserve">to which the item is shipped or delivered or at which possession is taken by the purchaser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323.203(e) and (e-1), Tax Code, are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If Subsections (b), (c), (c-1), and (d) do not apply, a</w:t>
      </w:r>
      <w:r>
        <w:t xml:space="preserve"> [</w:t>
      </w:r>
      <w:r>
        <w:rPr>
          <w:strike/>
        </w:rPr>
        <w:t xml:space="preserve">A</w:t>
      </w:r>
      <w:r>
        <w:t xml:space="preserve">] sale of a taxable item is consummated at the location in this state </w:t>
      </w:r>
      <w:r>
        <w:rPr>
          <w:u w:val="single"/>
        </w:rPr>
        <w:t xml:space="preserve">where the item was stored immediately before shipment, delivery, or transfer of possession to the customer</w:t>
      </w:r>
      <w:r>
        <w:t xml:space="preserve"> [</w:t>
      </w:r>
      <w:r>
        <w:rPr>
          <w:strike/>
        </w:rPr>
        <w:t xml:space="preserve">to which the item is shipped or delivered or at which possession is taken by the customer if transfer of possession of the item occurs at, or shipment or delivery of the item originates from, a location in this state other than a place of business of the retailer and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retailer is an itinerant vendor who has no place of business in this state;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retailer's place of business where the purchase order is initially received or from which the retailer's agent or employee who took the order operates is outside this state;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purchaser places the order directly with the retailer's supplier and the item is shipped or delivered directly to the purchaser by the supplier</w:t>
      </w:r>
      <w:r>
        <w:t xml:space="preserve">].</w:t>
      </w:r>
    </w:p>
    <w:p w:rsidR="003F3435" w:rsidRDefault="0032493E">
      <w:pPr>
        <w:spacing w:line="480" w:lineRule="auto"/>
        <w:ind w:firstLine="720"/>
        <w:jc w:val="both"/>
      </w:pPr>
      <w:r>
        <w:t xml:space="preserve">(e-1)</w:t>
      </w:r>
      <w:r xml:space="preserve">
        <w:t> </w:t>
      </w:r>
      <w:r xml:space="preserve">
        <w:t> </w:t>
      </w:r>
      <w:r>
        <w:t xml:space="preserve">Except as otherwise provided by Subsection (f), (g), (g-1), (g-2), (g-3), (h), (i), (j), (k), or (m), a sale of a taxable item made by a marketplace seller through a marketplace as provided by Section 151.0242 is consummated at the location in this state </w:t>
      </w:r>
      <w:r>
        <w:rPr>
          <w:u w:val="single"/>
        </w:rPr>
        <w:t xml:space="preserve">where the item was stored immediately before shipment, delivery, or transfer of possession to the customer</w:t>
      </w:r>
      <w:r>
        <w:t xml:space="preserve"> [</w:t>
      </w:r>
      <w:r>
        <w:rPr>
          <w:strike/>
        </w:rPr>
        <w:t xml:space="preserve">to which the item is shipped or delivered or at which possession is taken by the purchaser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