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VanDeaver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Flores)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definition of a commercial fleet.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502.001(6), Transportation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"Commercial fleet" means a group of at least </w:t>
      </w:r>
      <w:r>
        <w:rPr>
          <w:u w:val="single"/>
        </w:rPr>
        <w:t xml:space="preserve">12</w:t>
      </w:r>
      <w:r>
        <w:t xml:space="preserve"> [</w:t>
      </w:r>
      <w:r>
        <w:rPr>
          <w:strike/>
        </w:rPr>
        <w:t xml:space="preserve">25</w:t>
      </w:r>
      <w:r>
        <w:t xml:space="preserve">] nonapportioned motor vehicles, semitrailers, or trailers owned, operated, or leased by a corporation, limited or general partnership, limited liability company, or other business entity and used for the business purposes of that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