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88R2541 JTZ-F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civil penalties collected for violations of laws regulating massage therapy.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455.351, Occupations Code, is amended by adding Subsection (f-1)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civil penalty recovered in an action by a district or county attorney under this section shall be deposited to the credit of the general fund of the county where the court is located. </w:t>
      </w:r>
      <w:r>
        <w:rPr>
          <w:u w:val="single"/>
        </w:rPr>
        <w:t xml:space="preserve"> </w:t>
      </w:r>
      <w:r>
        <w:rPr>
          <w:u w:val="single"/>
        </w:rPr>
        <w:t xml:space="preserve">A civil penalty recovered in an action by a municipal attorney under this section shall be deposited to the credit of the general fund of the municipality.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