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88R2175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compensation for damages caused by governmental actions that close or effectively close businesses.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10, Government Code, is amended by adding Chapter 2010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2010. GOVERNMENTAL ACTIONS THAT CLOSE BUSINESSES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"Governmental action" means an order, ordinance, or other regulation by a governmental entity, including an executive or local order issued under Chapter 418 during a declared state of disaster.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"Governmental entity" means the state or a political subdivision of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COMPENSATION FOR GOVERNMENTAL ACTION.  (a)  Except as provided by Subsection (b), a business owner is entitled to compensation from a governmental entity for losses caused to the owner's business by a governmental action taken by the governmental entity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closes a business permanently or temporarily;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effectively closes a business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limiting the business's operations to the extent that the business owner cannot effectively maintain the business;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ordering customers not to patronize the business.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business owner is not entitled to compensation under Subsection (a) if the governmental entity can demonstrate that the primary reason for the governmental action was: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judicial finding that the business: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a nuisance under Chapter 125, Civil Practice and Remedies Code, Chapter 341 or 343, Health and Safety Code, or common law;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violated other law;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finding that the business or owner failed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acquire or maintain a license required by the governmental entity for the business;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file or maintain records required by the secretary of state;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 taxes.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2010.003.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ACTION AGAINST GOVERNMENTAL ENTITY.  (a)  A business owner may bring an action against a governmental entity for compensation for damages caused to the business by a governmental action described by Section 2010.002.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action under this chapter may be brought in a district court in any county in which the business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2010.004.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WAIVER OF GOVERNMENTAL IMMUNITY; PERMISSION TO SUE.  (a)  Sovereign and governmental immunity to suit and from liability is waived and abolished to the extent of liability created by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authorize a person to execute a judgment against property of the governmental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governmental action taken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