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88R3245 LHC-D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Craddick, Geren, Cook, Burrows, Rose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exemption from ad valorem taxation of certain royalty interests owned by a charitable organization.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11.18(a),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organization that qualifies as a charitable organization as provided by this section is entitled to an exemption from taxation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buildings and tangible personal property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are owned by the charitable organization;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except as permitted by Subsection (b), are used exclusively by qualified charitable organizations;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real property owned by the charitable organization consisting of: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incomplete improvement that: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is under active construction or other physical preparation;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is designed and intended to be used exclusively by qualified charitable organizations;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land on which the incomplete improvement is located that will be reasonably necessary for the use of the improvement by qualified charitable organizations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royalty interest, as defined by Section 201.001,  owned by the organization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only to ad valorem taxes imposed for a tax year beginning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456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