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88R3245 LHC-D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Craddick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exemption from ad valorem taxation of certain royalty interests owned by a charitable organization.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11.18(a),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organization that qualifies as a charitable organization as provided by this section is entitled to an exemption from taxation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buildings and tangible personal property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are owned by the charitable organization;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permitted by Subsection (b), are used exclusively by qualified charitable organizations;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real property owned by the charitable organization consisting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incomplete improvement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is under active construction or other physical preparation;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is designed and intended to be used exclusively by qualified charitable organizations;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land on which the incomplete improvement is located that will be reasonably necessary for the use of the improvement by qualified charitable organizations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royalty interest, as defined by Section 201.001,  owned by the organization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ad valorem taxes imposed for a tax year beginning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