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88R1187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jurisdiction of the statutory county courts of Grayson County in family law matters.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25.0932, Government Code, is amended by amending Subsection (a) and adding Subsection (b)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addition to the jurisdiction provided by Section 25.0003 and other law, a county court at law in Grayson County has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original concurrent jurisdiction with the justice court in all civil and criminal matters over which the justice court has jurisdiction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 jurisdiction with the district court in family law cases and proceedings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clerk serves as clerk of a county court at law in family law cases and proceedings, and the county clerk serves as clerk of the court in all other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