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88R2605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waiver of the requirement for the performance of an adoption evaluation in certain suits for adoption.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107.153, Family Code, is amended by amending Subsections (a) and (e)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the</w:t>
      </w:r>
      <w:r>
        <w:t xml:space="preserve"> [</w:t>
      </w:r>
      <w:r>
        <w:rPr>
          <w:strike/>
        </w:rPr>
        <w:t xml:space="preserve">The</w:t>
      </w:r>
      <w:r>
        <w:t xml:space="preserve">] court shall order the performance of an adoption evaluation to evaluate each party who requests termination of the parent-child relationship or an adoption in a suit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termination of the parent-child relationship in which a person other than a parent may be appointed managing conservator of a child;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adoption.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for adoption that is uncontested, the court may waive the requirement under Subsection (a) for the performance of an adoption evaluation of the prospective adoptive parent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adoptive parent is a stepparent of the child;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has reviewed investigative records of the department and any criminal history record information maintained by the Department of Public Safety relating to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costs of </w:t>
      </w:r>
      <w:r>
        <w:rPr>
          <w:u w:val="single"/>
        </w:rPr>
        <w:t xml:space="preserve">conducting</w:t>
      </w:r>
      <w:r>
        <w:t xml:space="preserve"> an adoption evaluation </w:t>
      </w:r>
      <w:r>
        <w:rPr>
          <w:u w:val="single"/>
        </w:rPr>
        <w:t xml:space="preserve">required</w:t>
      </w:r>
      <w:r>
        <w:t xml:space="preserve"> under </w:t>
      </w:r>
      <w:r>
        <w:rPr>
          <w:u w:val="single"/>
        </w:rPr>
        <w:t xml:space="preserve">Subsection (a) or reviewing investigative records of the department and criminal history record information maintained by the Department of Public Safety under Subsection (a-1), as applicable,</w:t>
      </w:r>
      <w:r>
        <w:t xml:space="preserve"> [</w:t>
      </w:r>
      <w:r>
        <w:rPr>
          <w:strike/>
        </w:rPr>
        <w:t xml:space="preserve">this section</w:t>
      </w:r>
      <w:r>
        <w:t xml:space="preserve">] shall be paid by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162.003,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162.003.</w:t>
      </w:r>
      <w:r xml:space="preserve">
        <w:t> </w:t>
      </w:r>
      <w:r xml:space="preserve">
        <w:t> </w:t>
      </w:r>
      <w:r>
        <w:t xml:space="preserve">ADOPTION EVALUATION.  In a suit for adoption, an adoption evaluation must be conducted as provided in Chapter 107</w:t>
      </w:r>
      <w:r>
        <w:rPr>
          <w:u w:val="single"/>
        </w:rPr>
        <w:t xml:space="preserve">, unless the court waives the requirement for the performance of an adoption evaluation under Section 107.153(a-1)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suit for adoption that is pending in trial court on the effective date of this Act or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