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88R2244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 Noble</w:t>
      </w:r>
      <w:r xml:space="preserve">
        <w:tab wTab="150" tlc="none" cTlc="0"/>
      </w:r>
      <w:r>
        <w:t xml:space="preserve">H.B.</w:t>
      </w:r>
      <w:r xml:space="preserve">
        <w:t> </w:t>
      </w:r>
      <w:r>
        <w:t xml:space="preserve">No.</w:t>
      </w:r>
      <w:r xml:space="preserve">
        <w:t> </w:t>
      </w:r>
      <w:r>
        <w:t xml:space="preserve">463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medical examinations for certain children entering the conservatorship of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264.1076, Family Code, is amended by adding Subsection (b-1) and amending Subsection (i)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Only children described by Subsections (b)(1) and (2) may receive an initial medical examination under Subsection (b).</w:t>
      </w:r>
    </w:p>
    <w:p w:rsidR="003F3435" w:rsidRDefault="0032493E">
      <w:pPr>
        <w:spacing w:line="480" w:lineRule="auto"/>
        <w:ind w:firstLine="720"/>
        <w:jc w:val="both"/>
      </w:pPr>
      <w:r>
        <w:t xml:space="preserve">(i)</w:t>
      </w:r>
      <w:r xml:space="preserve">
        <w:t> </w:t>
      </w:r>
      <w:r xml:space="preserve">
        <w:t> </w:t>
      </w:r>
      <w:r>
        <w:t xml:space="preserve">Not later than December 31, </w:t>
      </w:r>
      <w:r>
        <w:rPr>
          <w:u w:val="single"/>
        </w:rPr>
        <w:t xml:space="preserve">2024</w:t>
      </w:r>
      <w:r>
        <w:t xml:space="preserve"> [</w:t>
      </w:r>
      <w:r>
        <w:rPr>
          <w:strike/>
        </w:rPr>
        <w:t xml:space="preserve">2019</w:t>
      </w:r>
      <w:r>
        <w:t xml:space="preserve">], the department shall submit a report to the standing committees of the house of representatives and the senate with primary jurisdiction over child protective services and foster care evaluating the statewide implementation of the medical examination required by this section. The report must include </w:t>
      </w:r>
      <w:r>
        <w:rPr>
          <w:u w:val="single"/>
        </w:rPr>
        <w:t xml:space="preserve">for each region of the state:</w:t>
      </w:r>
    </w:p>
    <w:p w:rsidR="003F3435" w:rsidRDefault="0032493E">
      <w:pPr>
        <w:spacing w:line="480" w:lineRule="auto"/>
        <w:ind w:firstLine="1440"/>
        <w:jc w:val="both"/>
      </w:pPr>
      <w:r>
        <w:rPr>
          <w:u w:val="single"/>
        </w:rPr>
        <w:t xml:space="preserve">(1)</w:t>
      </w:r>
      <w:r xml:space="preserve">
        <w:t> </w:t>
      </w:r>
      <w:r xml:space="preserve">
        <w:t> </w:t>
      </w:r>
      <w:r>
        <w:t xml:space="preserve">the level of compliance with the requirements of this section</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medical examinations conducted under Subsection (b) and the reason for each medical examination</w:t>
      </w:r>
      <w:r>
        <w:t xml:space="preserve"> [</w:t>
      </w:r>
      <w:r>
        <w:rPr>
          <w:strike/>
        </w:rPr>
        <w:t xml:space="preserve">in each region of the state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264.1076(b-1), Family Code, as added by this Act, applies only to a child who enters the conservatorship of the Department of Family and Protective Services on or after the effective date of this Act.  A child who enters the conservatorship of the Department of Family and Protective Services before the effective date of this Act is governed by the law in effect on the date the child entered the conservatorship of the department,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