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A. Johnson of Harris, et al.</w:t>
      </w:r>
      <w:r xml:space="preserve">
        <w:tab wTab="150" tlc="none" cTlc="0"/>
      </w:r>
      <w:r>
        <w:t xml:space="preserve">H.B.</w:t>
      </w:r>
      <w:r xml:space="preserve">
        <w:t> </w:t>
      </w:r>
      <w:r>
        <w:t xml:space="preserve">No.</w:t>
      </w:r>
      <w:r xml:space="preserve">
        <w:t> </w:t>
      </w:r>
      <w:r>
        <w:t xml:space="preserve">467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limitations period for certain criminal offenses based on assaultive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assault under Section 22.01, Penal Code, if the assault was committed against a person whose relationship to or association with the defendant is described by Section 71.0021(b), 71.003, or 71.005, Family Code;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continuous violence against the family under Section 25.11, Penal Code;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aggravated assault under Section 22.02, Penal Code;</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12.02, Code of Criminal Procedure, is amended to read as follows:</w:t>
      </w:r>
    </w:p>
    <w:p w:rsidR="003F3435" w:rsidRDefault="0032493E">
      <w:pPr>
        <w:spacing w:line="480" w:lineRule="auto"/>
        <w:ind w:firstLine="720"/>
        <w:jc w:val="both"/>
      </w:pPr>
      <w:r>
        <w:t xml:space="preserve">Art.</w:t>
      </w:r>
      <w:r xml:space="preserve">
        <w:t> </w:t>
      </w:r>
      <w:r>
        <w:t xml:space="preserve">12.02.</w:t>
      </w:r>
      <w:r xml:space="preserve">
        <w:t> </w:t>
      </w:r>
      <w:r xml:space="preserve">
        <w:t> </w:t>
      </w:r>
      <w:r>
        <w:t xml:space="preserve">MISDEMEANORS.  (a) </w:t>
      </w:r>
      <w:r>
        <w:rPr>
          <w:u w:val="single"/>
        </w:rPr>
        <w:t xml:space="preserve">Except as provided by Subsection (b), the following charging instruments may be presented within two years from the date of the commission of the offense, and not afterward: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w:t>
      </w:r>
      <w:r>
        <w:rPr>
          <w:strike/>
        </w:rPr>
        <w:t xml:space="preserve">An</w:t>
      </w:r>
      <w:r>
        <w:t xml:space="preserve">] indictment or information for any Class A or Class B misdemeanor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may be presented within two years from the date of the commission of the offense, and not afterward.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w:t>
      </w:r>
      <w:r>
        <w:t xml:space="preserve">] complaint or information for any Class C misdemeanor</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indictment, information, or complaint, as applicable,   for assault under Section 22.01, Penal Code,</w:t>
      </w:r>
      <w:r>
        <w:t xml:space="preserve"> may be presented within </w:t>
      </w:r>
      <w:r>
        <w:rPr>
          <w:u w:val="single"/>
        </w:rPr>
        <w:t xml:space="preserve">three</w:t>
      </w:r>
      <w:r>
        <w:t xml:space="preserve"> [</w:t>
      </w:r>
      <w:r>
        <w:rPr>
          <w:strike/>
        </w:rPr>
        <w:t xml:space="preserve">two</w:t>
      </w:r>
      <w:r>
        <w:t xml:space="preserve">] years from the date of the commission of the offense, and not afterward</w:t>
      </w:r>
      <w:r>
        <w:rPr>
          <w:u w:val="single"/>
        </w:rPr>
        <w:t xml:space="preserve">, if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punishable as a misdemeanor;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committed against a person whose relationship to or association with the defendant is described by Section 71.0021(b), 71.003, or 71.005, Family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