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88R3121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 et al.</w:t>
      </w:r>
      <w:r xml:space="preserve">
        <w:tab wTab="150" tlc="none" cTlc="0"/>
      </w:r>
      <w:r>
        <w:t xml:space="preserve">H.B.</w:t>
      </w:r>
      <w:r xml:space="preserve">
        <w:t> </w:t>
      </w:r>
      <w:r>
        <w:t xml:space="preserve">No.</w:t>
      </w:r>
      <w:r xml:space="preserve">
        <w:t> </w:t>
      </w:r>
      <w:r>
        <w:t xml:space="preserve">468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of hearing aids and cochlear implants for certain individuals.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1367.253(a), Insurance Code, is amended to read as follows:</w:t>
      </w:r>
    </w:p>
    <w:p w:rsidR="003F3435" w:rsidRDefault="0032493E">
      <w:pPr>
        <w:spacing w:line="480" w:lineRule="auto"/>
        <w:ind w:firstLine="720"/>
        <w:jc w:val="both"/>
      </w:pPr>
      <w:r>
        <w:t xml:space="preserve">(a)</w:t>
      </w:r>
      <w:r xml:space="preserve">
        <w:t> </w:t>
      </w:r>
      <w:r xml:space="preserve">
        <w:t> </w:t>
      </w:r>
      <w:r>
        <w:t xml:space="preserve">A health benefit plan must provide coverage for the cost of a medically necessary hearing aid or cochlear implant and related services and supplies for a covered individual who is </w:t>
      </w:r>
      <w:r>
        <w:rPr>
          <w:u w:val="single"/>
        </w:rPr>
        <w:t xml:space="preserve">25</w:t>
      </w:r>
      <w:r>
        <w:t xml:space="preserve"> [</w:t>
      </w:r>
      <w:r>
        <w:rPr>
          <w:strike/>
        </w:rPr>
        <w:t xml:space="preserve">18</w:t>
      </w:r>
      <w:r>
        <w:t xml:space="preserve">] years of age or younger.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health benefit plan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