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474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regarding court-appointed volunteer advocate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264.601, Family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currently serving as a volunteer advocate on at least one child's case.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"Inactive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serving as a volunteer advocate.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264.603(a),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  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rPr>
          <w:u w:val="single"/>
        </w:rPr>
        <w:t xml:space="preserve">active</w:t>
      </w:r>
      <w:r>
        <w:t xml:space="preserve"> volunteer advocates in the program;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inactive volunteer advocates in the program; and</w:t>
      </w:r>
    </w:p>
    <w:p w:rsidR="003F3435" w:rsidRDefault="0032493E">
      <w:pPr>
        <w:spacing w:line="480" w:lineRule="auto"/>
        <w:ind w:firstLine="2160"/>
        <w:jc w:val="both"/>
      </w:pPr>
      <w:r>
        <w:rPr>
          <w:u w:val="single"/>
        </w:rP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adopted a grievance procedure to address complaints regarding negligence or misconduct related to a volunteer advocate's duties under Section 107.002;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maintains accurate records regarding active volunteer advocates and inactive volunteer advocates under the program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