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88R3910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477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confinement of inmates by the Texas Department of Criminal Justice in facilities operated by private vendors.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493, Government Code, is amended by adding Section 493.035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493.035.</w:t>
      </w:r>
      <w:r>
        <w:rPr>
          <w:u w:val="single"/>
        </w:rPr>
        <w:t xml:space="preserve"> </w:t>
      </w:r>
      <w:r>
        <w:rPr>
          <w:u w:val="single"/>
        </w:rPr>
        <w:t xml:space="preserve"> </w:t>
      </w:r>
      <w:r>
        <w:rPr>
          <w:u w:val="single"/>
        </w:rPr>
        <w:t xml:space="preserve">HOUSING IN PRIVATE FACILITY PROHIBITED.  (a)  Notwithstanding any other law and except as provided by Subsection (b), the department may not house or confine in a facility owned, operated, or managed by a private vendor, including on a temporary basis: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inmate sentenced to imprisonment in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inmate described by Section 507.002;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described by Section 493.009(a).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residential correctional facility as defined by Section 508.157.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495, Government Code, is amended by adding Section 495.0011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495.0011.</w:t>
      </w:r>
      <w:r>
        <w:rPr>
          <w:u w:val="single"/>
        </w:rPr>
        <w:t xml:space="preserve"> </w:t>
      </w:r>
      <w:r>
        <w:rPr>
          <w:u w:val="single"/>
        </w:rPr>
        <w:t xml:space="preserve"> </w:t>
      </w:r>
      <w:r>
        <w:rPr>
          <w:u w:val="single"/>
        </w:rPr>
        <w:t xml:space="preserve">CERTAIN CONTRACTS PROHIBITED.  (a)  Notwithstanding any other law and except as provided by Subsection (b), the board may not enter into a contract under which an inmate sentenced to imprisonment in the department, an inmate described by Section 507.002, or a person described by Section 493.009(a) will be housed or confined in a facility owned, operated, or managed by a private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contract relating to a residential correctional facility as defined by Section 508.157.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493.035, Government Code, as added by this Act, applies to the housing or confinement of a person described by that section on or after the effective date of this Act, regardless of whether the offense for which the person is housed or confined occurred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495.0011, Government Code, as added by this Act, applies to a contract entered into or renewed on or after the effective date of this Act. A contract entered into or renewed before the effective date of this Act is governed by the law in effect at the time the contract was entered into or renewed,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