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88R3909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placement of an inmate in administrative segregation based on membership in a security threat group.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501, Government Code, is amended by adding Section 501.115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501.115.</w:t>
      </w:r>
      <w:r>
        <w:rPr>
          <w:u w:val="single"/>
        </w:rPr>
        <w:t xml:space="preserve"> </w:t>
      </w:r>
      <w:r>
        <w:rPr>
          <w:u w:val="single"/>
        </w:rPr>
        <w:t xml:space="preserve"> </w:t>
      </w:r>
      <w:r>
        <w:rPr>
          <w:u w:val="single"/>
        </w:rPr>
        <w:t xml:space="preserve">LIMITATION ON USE OF ADMINISTRATIVE SEGREGATION BASED ON MEMBERSHIP IN SECURITY THREAT GROUP.  (a) </w:t>
      </w:r>
      <w:r>
        <w:rPr>
          <w:u w:val="single"/>
        </w:rPr>
        <w:t xml:space="preserve"> </w:t>
      </w:r>
      <w:r>
        <w:rPr>
          <w:u w:val="single"/>
        </w:rPr>
        <w:t xml:space="preserve">The department may not place an inmate in administrative segregation based solely on membership in a security threat group unless the director or director's designee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placement is necessary based on a reasonable belief that the inmate constitutes an immediate threat to the safety of the inmate or another person or to the security of the facility in which the inmate is confined;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less restrictive confinement alternative is inadequate to address the threat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review, on a weekly basis, the placement of an inmate described by Subsection (a) in administrative segregation and consider whether a less restrictive confinement option is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