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88R3213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Highway 356 in Irving as a historic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442, Government Code, is amended by adding Section 442.034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442.034.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356 AS TEXAS HISTORIC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cooperate with the Texas Department of Transportation to designate, interpret, and market the portion of State Highway 356 in the municipal limits of Irving as a Texas historic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supplement revenue available for the purposes under Subsection (a), the commission and the Texas Department of Transportation may pursue federal funds dedicated to highway enhancement.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designation of a portion of State Highway 356 as a Texas historic highway may not be construed as a designation under the National Historic Preservation Act (54 U.S.C. Section 300101 et seq.).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Department of Transportation is not required to design, construct, or erect a marker under this section unless a grant or donation of funds is made to the department to cover the cost of the design, construction, and erection of the marker. </w:t>
      </w:r>
      <w:r>
        <w:rPr>
          <w:u w:val="single"/>
        </w:rPr>
        <w:t xml:space="preserve"> </w:t>
      </w:r>
      <w:r>
        <w:rPr>
          <w:u w:val="single"/>
        </w:rPr>
        <w:t xml:space="preserve">Money received to cover the cost of the marker shall be deposited to the credit of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