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88R2868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xml:space="preserve">
        <w:tab wTab="150" tlc="none" cTlc="0"/>
      </w:r>
      <w:r>
        <w:t xml:space="preserve">H.B.</w:t>
      </w:r>
      <w:r xml:space="preserve">
        <w:t> </w:t>
      </w:r>
      <w:r>
        <w:t xml:space="preserve">No.</w:t>
      </w:r>
      <w:r xml:space="preserve">
        <w:t> </w:t>
      </w:r>
      <w:r>
        <w:t xml:space="preserve">490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limits on certain political contributions;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253.003(c), Election Code, is amended to read as follows:</w:t>
      </w:r>
    </w:p>
    <w:p w:rsidR="003F3435" w:rsidRDefault="0032493E">
      <w:pPr>
        <w:spacing w:line="480" w:lineRule="auto"/>
        <w:ind w:firstLine="720"/>
        <w:jc w:val="both"/>
      </w:pPr>
      <w:r>
        <w:t xml:space="preserve">(c)</w:t>
      </w:r>
      <w:r xml:space="preserve">
        <w:t> </w:t>
      </w:r>
      <w:r xml:space="preserve">
        <w:t> </w:t>
      </w:r>
      <w:r>
        <w:t xml:space="preserve">This section does not apply to a political contribution made or accepted in violation of Subchapter </w:t>
      </w:r>
      <w:r>
        <w:rPr>
          <w:u w:val="single"/>
        </w:rPr>
        <w:t xml:space="preserve">C or</w:t>
      </w:r>
      <w:r>
        <w:t xml:space="preserve"> </w:t>
      </w:r>
      <w:r>
        <w:t xml:space="preserve">F.</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253.004(b), Election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does not apply to a political expenditure made or authorized in violation of Subchapter </w:t>
      </w:r>
      <w:r>
        <w:rPr>
          <w:u w:val="single"/>
        </w:rPr>
        <w:t xml:space="preserve">C or</w:t>
      </w:r>
      <w:r>
        <w:t xml:space="preserve"> F.</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253.005(b), Election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does not apply to a political expenditure that is:</w:t>
      </w:r>
    </w:p>
    <w:p w:rsidR="003F3435" w:rsidRDefault="0032493E">
      <w:pPr>
        <w:spacing w:line="480" w:lineRule="auto"/>
        <w:ind w:firstLine="1440"/>
        <w:jc w:val="both"/>
      </w:pPr>
      <w:r>
        <w:t xml:space="preserve">(1)</w:t>
      </w:r>
      <w:r xml:space="preserve">
        <w:t> </w:t>
      </w:r>
      <w:r xml:space="preserve">
        <w:t> </w:t>
      </w:r>
      <w:r>
        <w:t xml:space="preserve">prohibited by Section 253.101; or</w:t>
      </w:r>
    </w:p>
    <w:p w:rsidR="003F3435" w:rsidRDefault="0032493E">
      <w:pPr>
        <w:spacing w:line="480" w:lineRule="auto"/>
        <w:ind w:firstLine="1440"/>
        <w:jc w:val="both"/>
      </w:pPr>
      <w:r>
        <w:t xml:space="preserve">(2)</w:t>
      </w:r>
      <w:r xml:space="preserve">
        <w:t> </w:t>
      </w:r>
      <w:r xml:space="preserve">
        <w:t> </w:t>
      </w:r>
      <w:r>
        <w:t xml:space="preserve">made from a political contribution made in violation of Subchapter </w:t>
      </w:r>
      <w:r>
        <w:rPr>
          <w:u w:val="single"/>
        </w:rPr>
        <w:t xml:space="preserve">C or</w:t>
      </w:r>
      <w:r>
        <w:t xml:space="preserve"> </w:t>
      </w:r>
      <w:r>
        <w:t xml:space="preserve">F.</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253, Election Code, is amended by adding Subchapter C to read as follows:</w:t>
      </w:r>
    </w:p>
    <w:p w:rsidR="003F3435" w:rsidRDefault="0032493E">
      <w:pPr>
        <w:spacing w:line="480" w:lineRule="auto"/>
        <w:jc w:val="center"/>
      </w:pPr>
      <w:r>
        <w:rPr>
          <w:u w:val="single"/>
        </w:rPr>
        <w:t xml:space="preserve">SUBCHAPTER C.  CERTAIN CONTRIBUTION LIMITS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253.051.</w:t>
      </w:r>
      <w:r>
        <w:rPr>
          <w:u w:val="single"/>
        </w:rPr>
        <w:t xml:space="preserve"> </w:t>
      </w:r>
      <w:r>
        <w:rPr>
          <w:u w:val="single"/>
        </w:rPr>
        <w:t xml:space="preserve"> </w:t>
      </w:r>
      <w:r>
        <w:rPr>
          <w:u w:val="single"/>
        </w:rPr>
        <w:t xml:space="preserve">CONTRIBUTION LIMITS FOR INDIVIDUALS AND CERTAIN POLITICAL COMMITTEES.  (a) </w:t>
      </w:r>
      <w:r>
        <w:rPr>
          <w:u w:val="single"/>
        </w:rPr>
        <w:t xml:space="preserve"> </w:t>
      </w:r>
      <w:r>
        <w:rPr>
          <w:u w:val="single"/>
        </w:rPr>
        <w:t xml:space="preserve">An individual may not make campaign contributions to a candidate or specific-purpose committee for supporting the candidate in a primary, general, or special election that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$8,000 for each candidate for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$6,300 for each candidate for a statewide office other than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$4,600 for each candidate for the senate;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$3,100 for each candidate for the house of representatives.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general-purpose committee may not make political contributions to a candidate, officeholder, or specific-purpose committee for supporting or assisting the candidate or officeholder that exceed $34,500 per year for each candidate or officeholder.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253.052.</w:t>
      </w:r>
      <w:r>
        <w:rPr>
          <w:u w:val="single"/>
        </w:rPr>
        <w:t xml:space="preserve"> </w:t>
      </w:r>
      <w:r>
        <w:rPr>
          <w:u w:val="single"/>
        </w:rPr>
        <w:t xml:space="preserve"> </w:t>
      </w:r>
      <w:r>
        <w:rPr>
          <w:u w:val="single"/>
        </w:rPr>
        <w:t xml:space="preserve">CERTAIN POLITICAL EXPENDITURES INCLUDED IN CONTRIBUTION LIMITS.  (a) </w:t>
      </w:r>
      <w:r>
        <w:rPr>
          <w:u w:val="single"/>
        </w:rPr>
        <w:t xml:space="preserve"> </w:t>
      </w:r>
      <w:r>
        <w:rPr>
          <w:u w:val="single"/>
        </w:rPr>
        <w:t xml:space="preserve">A political expenditure made by an individual or general-purpose committee in coordination with a candidate or officeholder is a political contribution in support of that candidate or officeholder for purposes of Section 253.051.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 a political expenditure is made in coordination with a candidate or officeholder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candidate or officeholder engages in fund-raising for the individual or general-purpose committee making the expenditure;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candidate or officeholder has family members or high-level staff who are employed by the individual or committee making the expenditure;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expenditure was made based on information the candidate or officeholder provided to the individual or committee about the candidate's or officeholder's plans or needs;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candidate or officeholder and the individual or committee employ one or more of the same consultants;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individual or committee republishes or redistributes the candidate's or officeholder's campaign communications.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adopt rules to implement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253.053.</w:t>
      </w:r>
      <w:r>
        <w:rPr>
          <w:u w:val="single"/>
        </w:rPr>
        <w:t xml:space="preserve"> </w:t>
      </w:r>
      <w:r>
        <w:rPr>
          <w:u w:val="single"/>
        </w:rPr>
        <w:t xml:space="preserve"> </w:t>
      </w:r>
      <w:r>
        <w:rPr>
          <w:u w:val="single"/>
        </w:rPr>
        <w:t xml:space="preserve">NONPROFIT FUND-RAISING NOT INCLUDED IN CONTRIBUTION LIMITS.  The contribution limits established by Section 253.051 do not apply to fund-raising by a candidate or officeholder on behalf of a nonprofit charitable organization, provided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candidate or officeholder does not receive any benefit from the organization;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or office of the candidate or officeholder is not used by the organization.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253.054.</w:t>
      </w:r>
      <w:r>
        <w:rPr>
          <w:u w:val="single"/>
        </w:rPr>
        <w:t xml:space="preserve"> </w:t>
      </w:r>
      <w:r>
        <w:rPr>
          <w:u w:val="single"/>
        </w:rPr>
        <w:t xml:space="preserve"> </w:t>
      </w:r>
      <w:r>
        <w:rPr>
          <w:u w:val="single"/>
        </w:rPr>
        <w:t xml:space="preserve">CONTRIBUTIONS AT POLITICAL FUND-RAISING EVENTS.  (a)  This section applies only to a fund-raising event intended to benefit a candidate, officeholder, or specific-purpose committee for supporting or assisting the candidate or officeholder and that is hosted by a person other than the candidate, officeholder, or committee.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collects contributions at a fund-raising event to which this section applies shall report to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each contribution and the name, address, occupation, and employer of each individual who made a contribution;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the fund-raising event occurred;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total amount of contributions collected at the fund-raising event;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name of each candidate, officeholder, or specific-purpose committee to which contributions collected at the event were presented;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amount of contributions presented to each candidate, officeholder, or committee after the event;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information the commission requires.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contribution that is collected from an individual at a fund-raising event to which this section applies and presented to a candidate or specific-purpose committee for supporting the candidate is a campaign contribution made by the individual for purposes of Section 253.051(a).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prescribe a form for a report required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253.055.</w:t>
      </w:r>
      <w:r>
        <w:rPr>
          <w:u w:val="single"/>
        </w:rPr>
        <w:t xml:space="preserve"> </w:t>
      </w:r>
      <w:r>
        <w:rPr>
          <w:u w:val="single"/>
        </w:rPr>
        <w:t xml:space="preserve"> </w:t>
      </w:r>
      <w:r>
        <w:rPr>
          <w:u w:val="single"/>
        </w:rPr>
        <w:t xml:space="preserve">ADJUSTMENT FOR INFLATION.  Not later than December 1 of each year, the commission shall increase the political contribution limits established by Section 253.051 by the amount that results from applying the inflation rate, as determined by the comptroller on the basis of the increase, if any, in the Consumer Price Index for All Urban Consumers published by the Bureau of Labor Statistics of the United States Department of Labor, to the current contribution limits.  The adjusted contribution limits will be effective for the calendar year following the adjustment.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253.056.</w:t>
      </w:r>
      <w:r>
        <w:rPr>
          <w:u w:val="single"/>
        </w:rPr>
        <w:t xml:space="preserve"> </w:t>
      </w:r>
      <w:r>
        <w:rPr>
          <w:u w:val="single"/>
        </w:rPr>
        <w:t xml:space="preserve"> </w:t>
      </w:r>
      <w:r>
        <w:rPr>
          <w:u w:val="single"/>
        </w:rPr>
        <w:t xml:space="preserve">OFFENSE: EXCESSIVE CONTRIBUTION.  (a) </w:t>
      </w:r>
      <w:r>
        <w:rPr>
          <w:u w:val="single"/>
        </w:rPr>
        <w:t xml:space="preserve"> </w:t>
      </w:r>
      <w:r>
        <w:rPr>
          <w:u w:val="single"/>
        </w:rPr>
        <w:t xml:space="preserve">A person commits an offense if the person knowingly makes contributions in violation of Section 253.051 that exceed the limitations provided by that section by $2,000 or more during a calendar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an offense under this section is a misdemeanor punishable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fine not to exceed: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$100,000 for an individual;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$200,000 for a general-purpose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confinement in jail for a term not to exceed one year;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both the fine and confinement.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contributions made in violation of Section 253.051 exceed the limitations provided by that section by $25,000 or more during a calendar year, an offense under this section is a felony punishable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fine not to exceed: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$250,000 for an individual;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$500,000 for a general-purpose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imprisonment in the Texas Department of Criminal Justice for any term of not more than five years;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both the fine and imprisonment.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December 1, 2023, the Texas Ethics Commission shall adopt rules and prescribe forms as necessary to implement Subchapter C, Chapter 253, Election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 contribution or expenditure made on or after the effective date of this Act.  A contribution or expenditure made before the effective date of this Act is governed by the law in effect on the date the contribution or expenditure was made,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