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88R938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H.B.</w:t>
      </w:r>
      <w:r xml:space="preserve">
        <w:t> </w:t>
      </w:r>
      <w:r>
        <w:t xml:space="preserve">No.</w:t>
      </w:r>
      <w:r xml:space="preserve">
        <w:t> </w:t>
      </w:r>
      <w:r>
        <w:t xml:space="preserve">497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display of a license plate only on the rear of a motor vehicle;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504.010, Transportation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Rules adopted under Subsection (c)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a motor vehicle to display only a rear license plate if the applicant for the vehicle's registration pays to the department an annual fee of $50;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motor vehicle that displays only a rear license plate as authorized by Subdivision (1) to display on the vehicle's windshield a distinctive insignia issued by the department for validation of that authorization.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deposit a fee collected under Subsection (d) to the credit of the state highway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504.943(a) and (d),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person commits an offense if the person operates on a public highway, during a registration period, a motor vehicle that does not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display two license plates that:</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have been assigned by the department for the period;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comply with department rules regarding the placement of license plates</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display: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rear license plate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been assigned by the department for the period;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complies with department rules regarding the placement of a rear license plate;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windshield insignia described by Section 504.010(d) that complies with department rules</w:t>
      </w:r>
      <w:r>
        <w:t xml:space="preserve">.</w:t>
      </w:r>
    </w:p>
    <w:p w:rsidR="003F3435" w:rsidRDefault="0032493E">
      <w:pPr>
        <w:spacing w:line="480" w:lineRule="auto"/>
        <w:ind w:firstLine="720"/>
        <w:jc w:val="both"/>
      </w:pPr>
      <w:r>
        <w:t xml:space="preserve">(d)</w:t>
      </w:r>
      <w:r xml:space="preserve">
        <w:t> </w:t>
      </w:r>
      <w:r xml:space="preserve">
        <w:t> </w:t>
      </w:r>
      <w:r>
        <w:t xml:space="preserve">A court may dismiss a charge brought under Subsection </w:t>
      </w:r>
      <w:r>
        <w:rPr>
          <w:u w:val="single"/>
        </w:rPr>
        <w:t xml:space="preserve">(a)(1)(A), (a)(2)(A)(i), or (a)(2)(B)</w:t>
      </w:r>
      <w:r>
        <w:t xml:space="preserve"> [</w:t>
      </w:r>
      <w:r>
        <w:rPr>
          <w:strike/>
        </w:rPr>
        <w:t xml:space="preserve">(a)(1)</w:t>
      </w:r>
      <w:r>
        <w:t xml:space="preserve">] if the defendant:</w:t>
      </w:r>
    </w:p>
    <w:p w:rsidR="003F3435" w:rsidRDefault="0032493E">
      <w:pPr>
        <w:spacing w:line="480" w:lineRule="auto"/>
        <w:ind w:firstLine="1440"/>
        <w:jc w:val="both"/>
      </w:pPr>
      <w:r>
        <w:t xml:space="preserve">(1)</w:t>
      </w:r>
      <w:r xml:space="preserve">
        <w:t> </w:t>
      </w:r>
      <w:r xml:space="preserve">
        <w:t> </w:t>
      </w:r>
      <w:r>
        <w:t xml:space="preserve">remedies the defect before the defendant's first court appearance; and</w:t>
      </w:r>
    </w:p>
    <w:p w:rsidR="003F3435" w:rsidRDefault="0032493E">
      <w:pPr>
        <w:spacing w:line="480" w:lineRule="auto"/>
        <w:ind w:firstLine="1440"/>
        <w:jc w:val="both"/>
      </w:pPr>
      <w:r>
        <w:t xml:space="preserve">(2)</w:t>
      </w:r>
      <w:r xml:space="preserve">
        <w:t> </w:t>
      </w:r>
      <w:r xml:space="preserve">
        <w:t> </w:t>
      </w:r>
      <w:r>
        <w:t xml:space="preserve">pays a reimbursement fee not to exceed $10.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