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88R966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school district or open-enrollment charter school to report data regarding certain disciplinary or law enforcement actions taken against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37.088.</w:t>
      </w:r>
      <w:r>
        <w:rPr>
          <w:u w:val="single"/>
        </w:rPr>
        <w:t xml:space="preserve"> </w:t>
      </w:r>
      <w:r>
        <w:rPr>
          <w:u w:val="single"/>
        </w:rPr>
        <w:t xml:space="preserve"> </w:t>
      </w:r>
      <w:r>
        <w:rPr>
          <w:u w:val="single"/>
        </w:rPr>
        <w:t xml:space="preserve">REPORT TO AGENCY ON CERTAIN DISCIPLINARY OR LAW ENFORCEMENT ACTIONS.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"Citation" means a ticket issued to a student for a Class C misdemeanor by a school district peace officer or other peace officer acting under a memorandum of understanding described by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"Conducted energy weapon" means a device that is intended, designed, made, or adapted to inflict pain on, immobilize, or incapacitate a person by delivering electrical energy into the person's body through direct contact or through one or more projectiles.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"OC spray" means any aerosol-propelled debilitation device that is composed of a lachrymatory chemical compound that irritates the eyes to cause tears, pain, or temporary blindness.  The term includes pepper spray, capsicum spray, OC gas, and oleoresin capsicum.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"Restraint" means the use of physical force or a mechanical device to significantly restrict the free movement of all or a portion of a student's body.  The term includes the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baton or a similar club;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 spray;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conducted energy weapon.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60th day after the last day of classes for the school year, the superintendent of a school district shall electronically submit to the agency a report that contains incident-based data describing the total number of the following incidents occurring during the preceding school year, organized by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sending of a student to the campus behavior coordinator's or other administrator's office or removal of a student from class under Section 37.002;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restraints administered to a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complaints filed against a student under Section 37.145;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following incidents occurring on school property that result from a district employee's request for intervention by a law enforcement agency, district peace officer, or school resource officer: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citations issued to a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arrests made of a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incident-based data submitted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applicable, information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age of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gender of the student;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race or ethnicity of the student;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student is eligible for special education services under Section 29.003;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the student is an emergent bilingual student, as defined by Section 29.052;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whether the student is in the conservatorship of the Department of Family and Protective Services;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whether the student is homeless, as defined by 42 U.S.C. Section 11302;</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nature of the offense;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whether the offense occurred during regular school hours;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whether the offense occurred on school property or off school property while the student was attending a school-sponsored or school-related activity;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type of restraint administered to the student;</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offense for which a complaint was filed against the student or for which the student was issued a citation or was arrested;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for incidents described by Subsection (b)(1), the name of a teacher who took such a disciplinary action more than twice during the applicable school year;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campus at which the student was enrolled at the time of the incident;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campus for which an incident described by Subsection (b) is reported, a comparison of the demographics of students who were the subject of such an incident to the demographics of the campus's student body, disaggregated by each student group described by Subdivision (1)(A), (B), (C), (D), (E), (F), or (G).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data collected for a report required under this section does not constitute prima facie evidence of racial profiling.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report required under this section may not include information that identifies the peace officer who issued a citation. </w:t>
      </w:r>
      <w:r>
        <w:rPr>
          <w:u w:val="single"/>
        </w:rPr>
        <w:t xml:space="preserve"> </w:t>
      </w:r>
      <w:r>
        <w:rPr>
          <w:u w:val="single"/>
        </w:rPr>
        <w:t xml:space="preserve">The identity of the peace officer is confidential and not subject to disclosure under Chapter 552,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report required under this section may not include personally identifiable student information and must comply with the Family Educational Rights and Privacy Act of 1974 (20 U.S.C. Section 1232g).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that enters into a memorandum of understanding with a local law enforcement agency for the provision of a regular police presence on campus shall designate in the memorandum of understanding which entity will be responsible for collecting the data described by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shall collect the reports required under this section, compile the data, and make the data available to the public. </w:t>
      </w:r>
      <w:r>
        <w:rPr>
          <w:u w:val="single"/>
        </w:rPr>
        <w:t xml:space="preserve"> </w:t>
      </w:r>
      <w:r>
        <w:rPr>
          <w:u w:val="single"/>
        </w:rPr>
        <w:t xml:space="preserve">The data must be disaggregated by school district to the extent possible while protecting the confidentiality of student information in accordance with Subsection (f).</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implement this section, including rules requiring the reporting of incident-based data using existing Public Education Information Management System (PEIMS) codes for the reporting of incidents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the reporting of information regarding certain disciplinary or law enforcement actions under Section 37.088</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