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w:t xml:space="preserve"> (Senate Sponsor</w:t>
      </w:r>
      <w:r xml:space="preserve">
        <w:t> </w:t>
      </w:r>
      <w:r>
        <w:t xml:space="preserve">-</w:t>
      </w:r>
      <w:r xml:space="preserve">
        <w:t> </w:t>
      </w:r>
      <w:r>
        <w:t xml:space="preserve">Parker)</w:t>
      </w:r>
      <w:r xml:space="preserve">
        <w:tab wTab="150" tlc="none" cTlc="0"/>
      </w:r>
      <w:r>
        <w:t xml:space="preserve">H.B.</w:t>
      </w:r>
      <w:r xml:space="preserve">
        <w:t> </w:t>
      </w:r>
      <w:r>
        <w:t xml:space="preserve">No.</w:t>
      </w:r>
      <w:r xml:space="preserve">
        <w:t> </w:t>
      </w:r>
      <w:r>
        <w:t xml:space="preserve">517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25,</w:t>
      </w:r>
      <w:r xml:space="preserve">
        <w:t> </w:t>
      </w:r>
      <w:r>
        <w:t xml:space="preserve">2023, read first time and referred to Committee on Criminal Justice; May</w:t>
      </w:r>
      <w:r xml:space="preserve">
        <w:t> </w:t>
      </w:r>
      <w:r>
        <w:t xml:space="preserve">11,</w:t>
      </w:r>
      <w:r xml:space="preserve">
        <w:t> </w:t>
      </w:r>
      <w:r>
        <w:t xml:space="preserve">2023, reported favorably by the following vote:</w:t>
      </w:r>
      <w:r>
        <w:t xml:space="preserve"> </w:t>
      </w:r>
      <w:r>
        <w:t xml:space="preserve"> </w:t>
      </w:r>
      <w:r>
        <w:t xml:space="preserve">Yeas 6,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persons who may provide information to a parole panel considering the release of an inmate on parole or to mandatory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Nancy's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508.153(e),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"Close</w:t>
      </w:r>
      <w:r>
        <w:t xml:space="preserve"> </w:t>
      </w:r>
      <w:r>
        <w:t xml:space="preserve">[</w:t>
      </w:r>
      <w:r>
        <w:rPr>
          <w:strike/>
        </w:rPr>
        <w:t xml:space="preserve">, "close</w:t>
      </w:r>
      <w:r>
        <w:t xml:space="preserve">] relative of a deceased victim[</w:t>
      </w:r>
      <w:r>
        <w:rPr>
          <w:strike/>
        </w:rPr>
        <w:t xml:space="preserve">,</w:t>
      </w:r>
      <w:r>
        <w:t xml:space="preserve">]" </w:t>
      </w:r>
      <w:r>
        <w:rPr>
          <w:u w:val="single"/>
        </w:rPr>
        <w:t xml:space="preserve">means a person who, regardless of whether the victim's death was related to the offense committed,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spouse of the victim at the time of the victim's death;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parent of the deceased victim;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adult brother, sister, or child of the deceased victim;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nearest relative of the deceased victim by consanguinity, if the persons described by Paragraphs (A) through (C) are deceased or are incapacitated due to physical or mental illness or infirmity.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"Guardian</w:t>
      </w:r>
      <w:r>
        <w:t xml:space="preserve"> </w:t>
      </w:r>
      <w:r>
        <w:t xml:space="preserve">[</w:t>
      </w:r>
      <w:r>
        <w:rPr>
          <w:strike/>
        </w:rPr>
        <w:t xml:space="preserve">"guardian</w:t>
      </w:r>
      <w:r>
        <w:t xml:space="preserve">] of a victim[</w:t>
      </w:r>
      <w:r>
        <w:rPr>
          <w:strike/>
        </w:rPr>
        <w:t xml:space="preserve">,</w:t>
      </w:r>
      <w:r>
        <w:t xml:space="preserve">]" and "victim" have the meanings assigned by Section 508.117.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