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88R1517 SCP-D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Cain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521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use of a high occupancy vehicle lane by an operator of a motor vehicle who is pregnant.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I, Chapter 545, Transportation Code, is amended by adding Section 545.429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545.429.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OF HIGH OCCUPANCY VEHICLE LANE BY PREGNANT OPERATOR.  An operator of a motor vehicle who is pregnant is entitled to use any high occupancy vehicle lane in this state regardless of whether the vehicle is occupied by a passenger other than the operator's unborn child.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521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