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88R2196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seizure of firearms during the emergency detention of certain persons who may have a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A peace officer who takes a person into custody under Subsection (a) may immediately seize any firearm found in possession of the person </w:t>
      </w:r>
      <w:r>
        <w:rPr>
          <w:u w:val="single"/>
        </w:rPr>
        <w:t xml:space="preserve">or found in plain sight and readily accessible to the person</w:t>
      </w:r>
      <w:r>
        <w:t xml:space="preserve">.  After seizing a firearm under this subsection, the peace officer shall comply with the requirements of Article 18.191,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apprehension for an emergency detention that occurs on or after the effective date of this Act.  An apprehension for emergency detention that occurs before the effective date of this Act is governed by the law in effect on the date the apprehension for emergency detention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