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88R967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536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liability limits in a health care liability claim.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74.301, Civil Practice and Remedies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When there is an increase or decrease in the consumer price index with respect to the amount of that index on September 1, 2003, the liability limits prescribed by this section shall be increased or decreased, as applicable, by a sum equal to the amount of such limit multiplied by the percentage increase or decrease in the consumer price index, as published by the Bureau of Labor Statistics of the United States Department of Labor, that measures the average changes in prices of goods and services purchased by urban wage earners and clerical workers' families (CPI-W:  Seasonally Adjusted U.S. City Average--All Items), between September 1, 2003, and the time at which damages subject to such limits are awarded by final judgment or settlement.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74.302, Civil Practice and Remedies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When there is an increase or decrease in the consumer price index with respect to the amount of that index on September 1, 2003, the liability limits and financial responsibility amounts prescribed by this section shall be increased or decreased, as applicable, by a sum equal to the amount of such limit multiplied by the percentage increase or decrease in the consumer price index, as published by the Bureau of Labor Statistics of the United States Department of Labor, that measures the average changes in prices of goods and services purchased by urban wage earners and clerical workers' families (CPI-W:  Seasonally Adjusted U.S. City Average--All Items), between September 1, 2003, and the time at which damages subject to such limits are awarded by final judgment or settlement.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74.301(d) and 74.302(f), Civil Practice and Remedies Code, as added by this Act, apply only to a health care liability claim that accrues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